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6"/>
        <w:tabs>
          <w:tab w:val="right" w:pos="9639"/>
        </w:tabs>
        <w:spacing w:after="0"/>
        <w:outlineLvl w:val="0"/>
        <w:rPr>
          <w:rFonts w:hint="default" w:eastAsia="宋体"/>
          <w:b/>
          <w:sz w:val="24"/>
          <w:lang w:val="en-US" w:eastAsia="zh-CN"/>
        </w:rPr>
      </w:pPr>
      <w:bookmarkStart w:id="0" w:name="_Hlt450051172"/>
      <w:bookmarkEnd w:id="0"/>
      <w:bookmarkStart w:id="1" w:name="_Hlt450066085"/>
      <w:bookmarkEnd w:id="1"/>
      <w:bookmarkStart w:id="2" w:name="_Hlt448930105"/>
      <w:bookmarkEnd w:id="2"/>
      <w:bookmarkStart w:id="3" w:name="_Hlt450039480"/>
      <w:bookmarkEnd w:id="3"/>
      <w:bookmarkStart w:id="4" w:name="_Hlt450066087"/>
      <w:bookmarkEnd w:id="4"/>
      <w:bookmarkStart w:id="5" w:name="_Hlt449016246"/>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408796</w:t>
      </w:r>
    </w:p>
    <w:p>
      <w:pPr>
        <w:pStyle w:val="76"/>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3"/>
          <w:rFonts w:hint="default"/>
          <w:b/>
          <w:highlight w:val="none"/>
          <w:lang w:val="en-US" w:eastAsia="zh-CN"/>
        </w:rPr>
      </w:pPr>
      <w:r>
        <w:rPr>
          <w:rStyle w:val="63"/>
          <w:rFonts w:hint="eastAsia"/>
          <w:b/>
          <w:highlight w:val="none"/>
          <w:lang w:val="en-US" w:eastAsia="zh-CN"/>
        </w:rPr>
        <w:t xml:space="preserve">Source: </w:t>
      </w:r>
      <w:r>
        <w:rPr>
          <w:rStyle w:val="63"/>
          <w:rFonts w:hint="eastAsia"/>
          <w:b/>
          <w:highlight w:val="none"/>
          <w:lang w:val="en-US" w:eastAsia="zh-CN"/>
        </w:rPr>
        <w:tab/>
      </w:r>
      <w:r>
        <w:rPr>
          <w:rStyle w:val="63"/>
          <w:rFonts w:hint="eastAsia"/>
          <w:b/>
          <w:highlight w:val="none"/>
          <w:lang w:val="en-US" w:eastAsia="zh-CN"/>
        </w:rPr>
        <w:t>ZTE Corporation, Sanechips</w:t>
      </w:r>
      <w:bookmarkStart w:id="12" w:name="_GoBack"/>
      <w:bookmarkEnd w:id="12"/>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3"/>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3"/>
          <w:rFonts w:hint="eastAsia"/>
          <w:b/>
          <w:highlight w:val="none"/>
          <w:lang w:val="pt-BR" w:eastAsia="zh-CN"/>
        </w:rPr>
        <w:t xml:space="preserve">iscussion on </w:t>
      </w:r>
      <w:bookmarkEnd w:id="6"/>
      <w:bookmarkEnd w:id="7"/>
      <w:r>
        <w:rPr>
          <w:rStyle w:val="63"/>
          <w:rFonts w:hint="eastAsia"/>
          <w:b/>
          <w:highlight w:val="none"/>
          <w:lang w:val="en-US" w:eastAsia="zh-CN"/>
        </w:rPr>
        <w:t>MPR applicability for FR2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3"/>
          <w:rFonts w:hint="default"/>
          <w:b/>
          <w:highlight w:val="none"/>
          <w:lang w:val="en-US" w:eastAsia="zh-CN"/>
        </w:rPr>
      </w:pPr>
      <w:r>
        <w:rPr>
          <w:rStyle w:val="63"/>
          <w:rFonts w:hint="eastAsia"/>
          <w:b/>
          <w:highlight w:val="none"/>
          <w:lang w:val="pt-BR" w:eastAsia="zh-CN"/>
        </w:rPr>
        <w:t>Agenda item:</w:t>
      </w:r>
      <w:r>
        <w:rPr>
          <w:rStyle w:val="63"/>
          <w:rFonts w:hint="eastAsia"/>
          <w:b/>
          <w:highlight w:val="none"/>
          <w:lang w:val="pt-BR" w:eastAsia="zh-CN"/>
        </w:rPr>
        <w:tab/>
      </w:r>
      <w:r>
        <w:rPr>
          <w:rStyle w:val="63"/>
          <w:rFonts w:hint="eastAsia"/>
          <w:b/>
          <w:highlight w:val="none"/>
          <w:lang w:val="en-US" w:eastAsia="zh-CN"/>
        </w:rPr>
        <w:t>10.1.1.3.3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3"/>
          <w:rFonts w:hint="eastAsia"/>
          <w:b/>
          <w:highlight w:val="none"/>
          <w:lang w:val="pt-BR" w:eastAsia="zh-CN"/>
        </w:rPr>
      </w:pPr>
      <w:r>
        <w:rPr>
          <w:rStyle w:val="63"/>
          <w:rFonts w:hint="eastAsia"/>
          <w:b/>
          <w:highlight w:val="none"/>
          <w:lang w:val="pt-BR" w:eastAsia="zh-CN"/>
        </w:rPr>
        <w:t>Document for:</w:t>
      </w:r>
      <w:r>
        <w:rPr>
          <w:rStyle w:val="63"/>
          <w:rFonts w:hint="eastAsia"/>
          <w:b/>
          <w:highlight w:val="none"/>
          <w:lang w:val="pt-BR" w:eastAsia="zh-CN"/>
        </w:rPr>
        <w:tab/>
      </w:r>
      <w:r>
        <w:rPr>
          <w:rStyle w:val="63"/>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UE RF enhancements for NR FR1/FR2 and EN-DC, Phase 4, one of the objectives is about power boosting and/or MPR reduction as follows</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w:t>
      </w:r>
      <w:r>
        <w:rPr>
          <w:rFonts w:hint="eastAsia"/>
          <w:i w:val="0"/>
          <w:iCs w:val="0"/>
          <w:sz w:val="20"/>
          <w:szCs w:val="20"/>
          <w:lang w:val="en-US" w:eastAsia="zh-CN"/>
        </w:rPr>
        <w:t xml:space="preserve"> </w:t>
      </w:r>
      <w:r>
        <w:rPr>
          <w:rFonts w:hint="default"/>
          <w:i w:val="0"/>
          <w:iCs w:val="0"/>
          <w:sz w:val="20"/>
          <w:szCs w:val="20"/>
          <w:lang w:val="en-US" w:eastAsia="zh-CN"/>
        </w:rPr>
        <w:t>on MPR applicability for FR2.</w:t>
      </w:r>
    </w:p>
    <w:tbl>
      <w:tblPr>
        <w:tblStyle w:val="27"/>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7"/>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7"/>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7"/>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7"/>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7"/>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7"/>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7"/>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4"/>
              </w:rPr>
            </w:pPr>
            <w:r>
              <w:rPr>
                <w:sz w:val="24"/>
              </w:rPr>
              <w:t xml:space="preserve">2.3 MPR applicability for FR2 single carrier UL or intra-band UL CA with DL intra-band CA </w:t>
            </w:r>
          </w:p>
          <w:p>
            <w:pPr>
              <w:overflowPunct w:val="0"/>
              <w:autoSpaceDE w:val="0"/>
              <w:autoSpaceDN w:val="0"/>
              <w:adjustRightInd w:val="0"/>
              <w:spacing w:after="180"/>
              <w:textAlignment w:val="baseline"/>
              <w:rPr>
                <w:b/>
                <w:sz w:val="21"/>
                <w:szCs w:val="21"/>
                <w:lang w:eastAsia="zh-CN"/>
              </w:rPr>
            </w:pPr>
            <w:r>
              <w:rPr>
                <w:b/>
                <w:sz w:val="21"/>
                <w:szCs w:val="21"/>
                <w:lang w:eastAsia="zh-CN"/>
              </w:rPr>
              <w:t>Way forward:</w:t>
            </w:r>
          </w:p>
          <w:p>
            <w:pPr>
              <w:pStyle w:val="37"/>
              <w:numPr>
                <w:ilvl w:val="0"/>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 xml:space="preserve">The following cases will be further discussed in next meeting for applicable MPR </w:t>
            </w:r>
            <w:r>
              <w:rPr>
                <w:rFonts w:eastAsia="宋体"/>
                <w:sz w:val="21"/>
                <w:szCs w:val="21"/>
                <w:lang w:eastAsia="zh-CN"/>
              </w:rPr>
              <w:t>changing from DL CABW dependent to UL carrier/CABW dependent with UE capability</w:t>
            </w:r>
            <w:r>
              <w:rPr>
                <w:rFonts w:eastAsiaTheme="minorEastAsia"/>
                <w:sz w:val="21"/>
                <w:szCs w:val="21"/>
                <w:lang w:eastAsia="zh-CN"/>
              </w:rPr>
              <w:t>.</w:t>
            </w:r>
          </w:p>
          <w:p>
            <w:pPr>
              <w:pStyle w:val="37"/>
              <w:numPr>
                <w:ilvl w:val="1"/>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single carrier UL with DL intra band CA</w:t>
            </w:r>
          </w:p>
          <w:p>
            <w:pPr>
              <w:pStyle w:val="37"/>
              <w:numPr>
                <w:ilvl w:val="1"/>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intra-band UL CA with DL intra band CA (configuration based)</w:t>
            </w:r>
          </w:p>
          <w:p>
            <w:pPr>
              <w:pStyle w:val="37"/>
              <w:numPr>
                <w:ilvl w:val="1"/>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intra-band UL CA with DL intra band CA (CC activation based)</w:t>
            </w:r>
          </w:p>
          <w:p>
            <w:pPr>
              <w:pStyle w:val="37"/>
              <w:numPr>
                <w:ilvl w:val="0"/>
                <w:numId w:val="9"/>
              </w:numPr>
              <w:overflowPunct w:val="0"/>
              <w:autoSpaceDE w:val="0"/>
              <w:autoSpaceDN w:val="0"/>
              <w:adjustRightInd w:val="0"/>
              <w:spacing w:after="180"/>
              <w:ind w:firstLineChars="0"/>
              <w:textAlignment w:val="baseline"/>
              <w:rPr>
                <w:vertAlign w:val="baseline"/>
              </w:rPr>
            </w:pPr>
            <w:r>
              <w:rPr>
                <w:rFonts w:eastAsiaTheme="minorEastAsia"/>
                <w:sz w:val="21"/>
                <w:szCs w:val="21"/>
                <w:lang w:eastAsia="zh-CN"/>
              </w:rPr>
              <w:t>FFS the details of the UE capability</w:t>
            </w:r>
          </w:p>
        </w:tc>
      </w:tr>
    </w:tbl>
    <w:p>
      <w:pPr>
        <w:bidi w:val="0"/>
        <w:rPr>
          <w:rFonts w:hint="eastAsia"/>
          <w:i w:val="0"/>
          <w:iCs w:val="0"/>
          <w:sz w:val="20"/>
          <w:szCs w:val="20"/>
          <w:lang w:val="en-US" w:eastAsia="zh-CN"/>
        </w:rPr>
      </w:pPr>
      <w:r>
        <w:rPr>
          <w:rFonts w:hint="eastAsia"/>
          <w:i w:val="0"/>
          <w:iCs w:val="0"/>
          <w:sz w:val="20"/>
          <w:szCs w:val="20"/>
          <w:lang w:val="en-US" w:eastAsia="zh-CN"/>
        </w:rPr>
        <w:t>As we know, the existing MPR requirements for FR2 intra-band UL CC are largely based on the CABW(cumulative aggregated channel bandwidth), which considering a UE with a common LO for UL and DL. Even when UL is single CC, the MPR is still based on the DL CA bandwidth (i.e. DL CA only), which would be larger than UL. However, not all UEs employ a common LO for both, UL and DL. Some UEs have fast LO switching, or dedicated LOs for Tx and Rx paths. Hence, it is feasible for these UEs to change applicable MPR from CABW dependent to UL carrier/CABW dependent.</w:t>
      </w:r>
    </w:p>
    <w:p>
      <w:pPr>
        <w:bidi w:val="0"/>
        <w:rPr>
          <w:rFonts w:hint="eastAsia"/>
          <w:i w:val="0"/>
          <w:iCs w:val="0"/>
          <w:sz w:val="20"/>
          <w:szCs w:val="20"/>
          <w:lang w:val="en-US" w:eastAsia="zh-CN"/>
        </w:rPr>
      </w:pPr>
      <w:r>
        <w:rPr>
          <w:rFonts w:hint="eastAsia"/>
          <w:b/>
          <w:bCs/>
          <w:i/>
          <w:iCs/>
          <w:sz w:val="20"/>
          <w:szCs w:val="20"/>
          <w:lang w:val="en-US" w:eastAsia="zh-CN"/>
        </w:rPr>
        <w:t>Proposal 1: It is feasible for UEs with fast LO switching or with dedicated LOs for Tx and Rx paths to change applicable MPR from CABW dependent to UL carrier/CABW dependent.</w:t>
      </w:r>
    </w:p>
    <w:p>
      <w:pPr>
        <w:bidi w:val="0"/>
        <w:rPr>
          <w:rFonts w:hint="eastAsia"/>
          <w:sz w:val="20"/>
          <w:szCs w:val="20"/>
          <w:lang w:val="en-US" w:eastAsia="zh-CN"/>
        </w:rPr>
      </w:pPr>
      <w:r>
        <w:rPr>
          <w:rFonts w:hint="eastAsia"/>
          <w:sz w:val="20"/>
          <w:szCs w:val="20"/>
          <w:lang w:val="en-US" w:eastAsia="zh-CN"/>
        </w:rPr>
        <w:t>Based on the above way forward in last meeting [2], MPR applicability for FR2 single carrier UL or intra-band UL CA with DL intra-band CA can be divided into three cases.</w:t>
      </w:r>
    </w:p>
    <w:p>
      <w:pPr>
        <w:bidi w:val="0"/>
        <w:rPr>
          <w:rFonts w:hint="eastAsia"/>
          <w:sz w:val="20"/>
          <w:szCs w:val="20"/>
          <w:lang w:val="en-US" w:eastAsia="zh-CN"/>
        </w:rPr>
      </w:pPr>
      <w:r>
        <w:rPr>
          <w:rFonts w:hint="eastAsia"/>
          <w:sz w:val="20"/>
          <w:szCs w:val="20"/>
          <w:lang w:val="en-US" w:eastAsia="zh-CN"/>
        </w:rPr>
        <w:t>Case 1: single carrier UL with DL intra band CA</w:t>
      </w:r>
    </w:p>
    <w:p>
      <w:pPr>
        <w:bidi w:val="0"/>
        <w:rPr>
          <w:rFonts w:hint="eastAsia"/>
          <w:sz w:val="20"/>
          <w:szCs w:val="20"/>
          <w:lang w:val="en-US" w:eastAsia="zh-CN"/>
        </w:rPr>
      </w:pPr>
      <w:r>
        <w:rPr>
          <w:rFonts w:hint="default"/>
          <w:sz w:val="20"/>
          <w:szCs w:val="20"/>
          <w:lang w:val="en-US" w:eastAsia="zh-CN"/>
        </w:rPr>
        <w:t>For UEs with fast LO switching, or with dedicated LOs for Tx and Rx paths</w:t>
      </w:r>
      <w:r>
        <w:rPr>
          <w:rFonts w:hint="eastAsia"/>
          <w:sz w:val="20"/>
          <w:szCs w:val="20"/>
          <w:lang w:val="en-US" w:eastAsia="zh-CN"/>
        </w:rPr>
        <w:t>, if single UL CC with intra-band DL CA is configured, it is feasible to decouple single UL CC and intra-band DL CA. Applicable MPR can change from CABW to single carrier with UE capability. It is worth to mention that there are several MPR tables for single CC operation based on channel bandwidth and frequency range. Take PC3 as an example, 5 tables of MPR are specified: two for FR2-1 and three for FR2-2. Among the two MPR tables for FR2-1, one is for BW</w:t>
      </w:r>
      <w:r>
        <w:rPr>
          <w:rFonts w:hint="eastAsia"/>
          <w:sz w:val="20"/>
          <w:szCs w:val="20"/>
          <w:vertAlign w:val="subscript"/>
          <w:lang w:val="en-US" w:eastAsia="zh-CN"/>
        </w:rPr>
        <w:t>channel</w:t>
      </w:r>
      <w:r>
        <w:rPr>
          <w:rFonts w:hint="eastAsia"/>
          <w:sz w:val="20"/>
          <w:szCs w:val="20"/>
          <w:lang w:val="en-US" w:eastAsia="zh-CN"/>
        </w:rPr>
        <w:t xml:space="preserve"> ≤ 200 MHz and the other for BW</w:t>
      </w:r>
      <w:r>
        <w:rPr>
          <w:rFonts w:hint="eastAsia"/>
          <w:sz w:val="20"/>
          <w:szCs w:val="20"/>
          <w:vertAlign w:val="subscript"/>
          <w:lang w:val="en-US" w:eastAsia="zh-CN"/>
        </w:rPr>
        <w:t>channel</w:t>
      </w:r>
      <w:r>
        <w:rPr>
          <w:rFonts w:hint="eastAsia"/>
          <w:sz w:val="20"/>
          <w:szCs w:val="20"/>
          <w:lang w:val="en-US" w:eastAsia="zh-CN"/>
        </w:rPr>
        <w:t xml:space="preserve"> = 400 MHz. Three tables for FR2-2 are for BW</w:t>
      </w:r>
      <w:r>
        <w:rPr>
          <w:rFonts w:hint="eastAsia"/>
          <w:sz w:val="20"/>
          <w:szCs w:val="20"/>
          <w:vertAlign w:val="subscript"/>
          <w:lang w:val="en-US" w:eastAsia="zh-CN"/>
        </w:rPr>
        <w:t>channel</w:t>
      </w:r>
      <w:r>
        <w:rPr>
          <w:rFonts w:hint="eastAsia"/>
          <w:sz w:val="20"/>
          <w:szCs w:val="20"/>
          <w:lang w:val="en-US" w:eastAsia="zh-CN"/>
        </w:rPr>
        <w:t xml:space="preserve"> = 100 MHz, BW</w:t>
      </w:r>
      <w:r>
        <w:rPr>
          <w:rFonts w:hint="eastAsia"/>
          <w:sz w:val="20"/>
          <w:szCs w:val="20"/>
          <w:vertAlign w:val="subscript"/>
          <w:lang w:val="en-US" w:eastAsia="zh-CN"/>
        </w:rPr>
        <w:t>channel</w:t>
      </w:r>
      <w:r>
        <w:rPr>
          <w:rFonts w:hint="eastAsia"/>
          <w:sz w:val="20"/>
          <w:szCs w:val="20"/>
          <w:lang w:val="en-US" w:eastAsia="zh-CN"/>
        </w:rPr>
        <w:t xml:space="preserve"> = 400 MHz and BW</w:t>
      </w:r>
      <w:r>
        <w:rPr>
          <w:rFonts w:hint="eastAsia"/>
          <w:sz w:val="20"/>
          <w:szCs w:val="20"/>
          <w:vertAlign w:val="subscript"/>
          <w:lang w:val="en-US" w:eastAsia="zh-CN"/>
        </w:rPr>
        <w:t>channel</w:t>
      </w:r>
      <w:r>
        <w:rPr>
          <w:rFonts w:hint="eastAsia"/>
          <w:sz w:val="20"/>
          <w:szCs w:val="20"/>
          <w:lang w:val="en-US" w:eastAsia="zh-CN"/>
        </w:rPr>
        <w:t xml:space="preserve"> ≥ 800 MHz. In addition, it has been defined that </w:t>
      </w:r>
      <w:r>
        <w:rPr>
          <w:rFonts w:hint="default"/>
          <w:sz w:val="20"/>
          <w:szCs w:val="20"/>
          <w:lang w:val="en-US" w:eastAsia="zh-CN"/>
        </w:rPr>
        <w:t>“</w:t>
      </w:r>
      <w:r>
        <w:rPr>
          <w:rFonts w:hint="eastAsia"/>
          <w:sz w:val="20"/>
          <w:szCs w:val="20"/>
          <w:lang w:val="en-US" w:eastAsia="zh-CN"/>
        </w:rPr>
        <w:t>for downlink intra-band contiguous and non-contiguous carrier aggregation with a single uplink component carrier configured in the NR band, the maximum output power is specified in clause 6.2.1</w:t>
      </w:r>
      <w:r>
        <w:rPr>
          <w:rFonts w:hint="default"/>
          <w:sz w:val="20"/>
          <w:szCs w:val="20"/>
          <w:lang w:val="en-US" w:eastAsia="zh-CN"/>
        </w:rPr>
        <w:t>”</w:t>
      </w:r>
      <w:r>
        <w:rPr>
          <w:rFonts w:hint="eastAsia"/>
          <w:sz w:val="20"/>
          <w:szCs w:val="20"/>
          <w:lang w:val="en-US" w:eastAsia="zh-CN"/>
        </w:rPr>
        <w:t xml:space="preserve"> in TS 38.101-2. So, for single UL CC with intra-band DL CA, it can use MPR for single CC based on power class, channel bandwidth and frequency range of single UL CC with UE capability.</w:t>
      </w:r>
    </w:p>
    <w:p>
      <w:pPr>
        <w:bidi w:val="0"/>
        <w:rPr>
          <w:rFonts w:hint="default"/>
          <w:sz w:val="20"/>
          <w:szCs w:val="20"/>
          <w:lang w:val="en-US" w:eastAsia="zh-CN"/>
        </w:rPr>
      </w:pPr>
      <w:r>
        <w:rPr>
          <w:rFonts w:hint="eastAsia"/>
          <w:b/>
          <w:bCs/>
          <w:i/>
          <w:iCs/>
          <w:sz w:val="20"/>
          <w:szCs w:val="20"/>
          <w:lang w:val="en-US" w:eastAsia="zh-CN"/>
        </w:rPr>
        <w:t>Proposal 2: For single UL CC with intra-band DL CA, it can use MPR for single CC based on power class, channel bandwidth and frequency range of single UL CC with UE capability.</w:t>
      </w:r>
    </w:p>
    <w:p>
      <w:pPr>
        <w:bidi w:val="0"/>
        <w:rPr>
          <w:rFonts w:hint="eastAsia"/>
          <w:sz w:val="20"/>
          <w:szCs w:val="20"/>
          <w:lang w:val="en-US" w:eastAsia="zh-CN"/>
        </w:rPr>
      </w:pPr>
      <w:r>
        <w:rPr>
          <w:rFonts w:hint="eastAsia"/>
          <w:sz w:val="20"/>
          <w:szCs w:val="20"/>
          <w:lang w:val="en-US" w:eastAsia="zh-CN"/>
        </w:rPr>
        <w:t>Case 2: intra-band UL CA with DL intra band CA (configuration based)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default"/>
          <w:sz w:val="20"/>
          <w:szCs w:val="20"/>
          <w:lang w:val="en-US" w:eastAsia="zh-CN"/>
        </w:rPr>
      </w:pPr>
      <w:r>
        <w:rPr>
          <w:rFonts w:hint="eastAsia"/>
          <w:sz w:val="20"/>
          <w:szCs w:val="20"/>
          <w:lang w:val="en-US" w:eastAsia="zh-CN"/>
        </w:rPr>
        <w:t>Usually, larger channel bandwidth would cause larger MSD due to more sever PA non-linearity. Decoupling the UL and DL bandwidth would reduce the MPR. We believe that defining the MPR for intra-band CA based on UL BW is feasible, regardless of the DL cumulative aggregated channel bandwidth. For case 2, if a UE supports LO switching or has separate LOs for Tx and Rx, it also can decouple intra-band UL CA and intra-band DL CA. In this case, applied MPR could change from CABW to intra-band UL CA with UE capability. For example, the MPR requirement are defined for four CABW groups in Table 6.2A.2.4-1 for PC3 intra-band contiguous CA</w:t>
      </w:r>
      <w:r>
        <w:rPr>
          <w:rFonts w:hint="eastAsia"/>
          <w:sz w:val="20"/>
          <w:lang w:val="en-US" w:eastAsia="zh-CN"/>
        </w:rPr>
        <w:t xml:space="preserve">, which are as follows. If intra-band UL CA is ≤ 400 MHz and CABW is ≥ 800 MHz and ≤ 1400 MHz, the MPR requirements in the intra-band UL CA group of </w:t>
      </w:r>
      <w:r>
        <w:rPr>
          <w:rFonts w:hint="default"/>
          <w:sz w:val="20"/>
          <w:lang w:val="en-US" w:eastAsia="zh-CN"/>
        </w:rPr>
        <w:t>‘</w:t>
      </w:r>
      <w:r>
        <w:rPr>
          <w:rFonts w:hint="eastAsia"/>
          <w:sz w:val="20"/>
          <w:lang w:val="en-US" w:eastAsia="zh-CN"/>
        </w:rPr>
        <w:t>≤ 400 MHz</w:t>
      </w:r>
      <w:r>
        <w:rPr>
          <w:rFonts w:hint="default"/>
          <w:sz w:val="20"/>
          <w:lang w:val="en-US" w:eastAsia="zh-CN"/>
        </w:rPr>
        <w:t>’</w:t>
      </w:r>
      <w:r>
        <w:rPr>
          <w:rFonts w:hint="eastAsia"/>
          <w:sz w:val="20"/>
          <w:lang w:val="en-US" w:eastAsia="zh-CN"/>
        </w:rPr>
        <w:t xml:space="preserve"> can be applied with UE capability.</w:t>
      </w:r>
    </w:p>
    <w:p>
      <w:pPr>
        <w:pStyle w:val="59"/>
      </w:pPr>
      <w:r>
        <w:t>Table 6.2A.2.4-1: Maximum power reduction (MPR</w:t>
      </w:r>
      <w:r>
        <w:rPr>
          <w:vertAlign w:val="subscript"/>
        </w:rPr>
        <w:t>C_CA</w:t>
      </w:r>
      <w:r>
        <w:t>) for UE power class 3 in FR2-1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1655"/>
        <w:gridCol w:w="1774"/>
        <w:gridCol w:w="1540"/>
        <w:gridCol w:w="1555"/>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24" w:type="dxa"/>
            <w:gridSpan w:val="2"/>
            <w:tcBorders>
              <w:bottom w:val="nil"/>
            </w:tcBorders>
            <w:shd w:val="clear" w:color="auto" w:fill="auto"/>
          </w:tcPr>
          <w:p>
            <w:pPr>
              <w:pStyle w:val="68"/>
              <w:keepNext/>
              <w:keepLines/>
              <w:pageBreakBefore w:val="0"/>
              <w:widowControl/>
              <w:kinsoku/>
              <w:wordWrap/>
              <w:overflowPunct/>
              <w:topLinePunct w:val="0"/>
              <w:autoSpaceDE/>
              <w:autoSpaceDN/>
              <w:bidi w:val="0"/>
              <w:adjustRightInd/>
              <w:snapToGrid/>
              <w:spacing w:beforeLines="0" w:afterLines="0"/>
              <w:textAlignment w:val="auto"/>
            </w:pPr>
          </w:p>
        </w:tc>
        <w:tc>
          <w:tcPr>
            <w:tcW w:w="6307" w:type="dxa"/>
            <w:gridSpan w:val="4"/>
            <w:shd w:val="clear" w:color="auto" w:fill="auto"/>
          </w:tcPr>
          <w:p>
            <w:pPr>
              <w:pStyle w:val="68"/>
              <w:keepNext/>
              <w:keepLines/>
              <w:pageBreakBefore w:val="0"/>
              <w:widowControl/>
              <w:kinsoku/>
              <w:wordWrap/>
              <w:overflowPunct/>
              <w:topLinePunct w:val="0"/>
              <w:autoSpaceDE/>
              <w:autoSpaceDN/>
              <w:bidi w:val="0"/>
              <w:adjustRightInd/>
              <w:snapToGrid/>
              <w:spacing w:beforeLines="0" w:afterLines="0"/>
              <w:textAlignment w:val="auto"/>
            </w:pPr>
            <w:r>
              <w:t>Cumulative aggregated channel</w:t>
            </w:r>
            <w:r>
              <w:rPr>
                <w:rFonts w:eastAsia="Malgun Gothic"/>
              </w:rPr>
              <w:t xml:space="preserve"> </w:t>
            </w:r>
            <w:r>
              <w:t xml:space="preserve">bandwidth </w:t>
            </w:r>
            <w:r>
              <w:rPr>
                <w:rFonts w:eastAsia="Malgun Gothic"/>
              </w:rPr>
              <w:t>(CABW)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24" w:type="dxa"/>
            <w:gridSpan w:val="2"/>
            <w:tcBorders>
              <w:top w:val="nil"/>
            </w:tcBorders>
            <w:shd w:val="clear" w:color="auto" w:fill="auto"/>
          </w:tcPr>
          <w:p>
            <w:pPr>
              <w:pStyle w:val="68"/>
              <w:keepNext/>
              <w:keepLines/>
              <w:pageBreakBefore w:val="0"/>
              <w:widowControl/>
              <w:kinsoku/>
              <w:wordWrap/>
              <w:overflowPunct/>
              <w:topLinePunct w:val="0"/>
              <w:autoSpaceDE/>
              <w:autoSpaceDN/>
              <w:bidi w:val="0"/>
              <w:adjustRightInd/>
              <w:snapToGrid/>
              <w:spacing w:beforeLines="0" w:afterLines="0"/>
              <w:textAlignment w:val="auto"/>
            </w:pPr>
          </w:p>
        </w:tc>
        <w:tc>
          <w:tcPr>
            <w:tcW w:w="1774" w:type="dxa"/>
            <w:shd w:val="clear" w:color="auto" w:fill="auto"/>
          </w:tcPr>
          <w:p>
            <w:pPr>
              <w:pStyle w:val="68"/>
              <w:keepNext/>
              <w:keepLines/>
              <w:pageBreakBefore w:val="0"/>
              <w:widowControl/>
              <w:kinsoku/>
              <w:wordWrap/>
              <w:overflowPunct/>
              <w:topLinePunct w:val="0"/>
              <w:autoSpaceDE/>
              <w:autoSpaceDN/>
              <w:bidi w:val="0"/>
              <w:adjustRightInd/>
              <w:snapToGrid/>
              <w:spacing w:beforeLines="0" w:afterLines="0"/>
              <w:textAlignment w:val="auto"/>
            </w:pPr>
            <w:r>
              <w:rPr>
                <w:rFonts w:eastAsia="Yu Mincho" w:cs="Arial"/>
                <w:lang w:eastAsia="ja-JP"/>
              </w:rPr>
              <w:t>≤</w:t>
            </w:r>
            <w:r>
              <w:t xml:space="preserve"> 400 MHz</w:t>
            </w:r>
          </w:p>
        </w:tc>
        <w:tc>
          <w:tcPr>
            <w:tcW w:w="1540" w:type="dxa"/>
          </w:tcPr>
          <w:p>
            <w:pPr>
              <w:pStyle w:val="68"/>
              <w:keepNext/>
              <w:keepLines/>
              <w:pageBreakBefore w:val="0"/>
              <w:widowControl/>
              <w:kinsoku/>
              <w:wordWrap/>
              <w:overflowPunct/>
              <w:topLinePunct w:val="0"/>
              <w:autoSpaceDE/>
              <w:autoSpaceDN/>
              <w:bidi w:val="0"/>
              <w:adjustRightInd/>
              <w:snapToGrid/>
              <w:spacing w:beforeLines="0" w:afterLines="0"/>
              <w:textAlignment w:val="auto"/>
            </w:pPr>
            <w:r>
              <w:rPr>
                <w:rFonts w:cs="Arial"/>
              </w:rPr>
              <w:t xml:space="preserve">&gt; </w:t>
            </w:r>
            <w:r>
              <w:t>400 MHz and &lt; 800 MHz</w:t>
            </w:r>
          </w:p>
        </w:tc>
        <w:tc>
          <w:tcPr>
            <w:tcW w:w="1555" w:type="dxa"/>
          </w:tcPr>
          <w:p>
            <w:pPr>
              <w:pStyle w:val="68"/>
              <w:keepNext/>
              <w:keepLines/>
              <w:pageBreakBefore w:val="0"/>
              <w:widowControl/>
              <w:kinsoku/>
              <w:wordWrap/>
              <w:overflowPunct/>
              <w:topLinePunct w:val="0"/>
              <w:autoSpaceDE/>
              <w:autoSpaceDN/>
              <w:bidi w:val="0"/>
              <w:adjustRightInd/>
              <w:snapToGrid/>
              <w:spacing w:beforeLines="0" w:afterLines="0"/>
              <w:textAlignment w:val="auto"/>
            </w:pPr>
            <w:r>
              <w:rPr>
                <w:rFonts w:cs="Arial"/>
              </w:rPr>
              <w:t>≥</w:t>
            </w:r>
            <w:r>
              <w:t xml:space="preserve"> 800 MHz and </w:t>
            </w:r>
            <w:r>
              <w:rPr>
                <w:rFonts w:cs="Arial"/>
              </w:rPr>
              <w:t>≤</w:t>
            </w:r>
            <w:r>
              <w:t xml:space="preserve"> 1400 MHz</w:t>
            </w:r>
          </w:p>
        </w:tc>
        <w:tc>
          <w:tcPr>
            <w:tcW w:w="1438" w:type="dxa"/>
          </w:tcPr>
          <w:p>
            <w:pPr>
              <w:pStyle w:val="68"/>
              <w:keepNext/>
              <w:keepLines/>
              <w:pageBreakBefore w:val="0"/>
              <w:widowControl/>
              <w:kinsoku/>
              <w:wordWrap/>
              <w:overflowPunct/>
              <w:topLinePunct w:val="0"/>
              <w:autoSpaceDE/>
              <w:autoSpaceDN/>
              <w:bidi w:val="0"/>
              <w:adjustRightInd/>
              <w:snapToGrid/>
              <w:spacing w:beforeLines="0" w:afterLines="0"/>
              <w:textAlignment w:val="auto"/>
              <w:rPr>
                <w:rFonts w:cs="Arial"/>
              </w:rPr>
            </w:pPr>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bottom w:val="nil"/>
            </w:tcBorders>
            <w:shd w:val="clear" w:color="auto" w:fill="auto"/>
            <w:vAlign w:val="center"/>
          </w:tcPr>
          <w:p>
            <w:pPr>
              <w:pStyle w:val="60"/>
              <w:keepNext/>
              <w:keepLines/>
              <w:pageBreakBefore w:val="0"/>
              <w:widowControl/>
              <w:kinsoku/>
              <w:wordWrap/>
              <w:overflowPunct/>
              <w:topLinePunct w:val="0"/>
              <w:autoSpaceDE/>
              <w:autoSpaceDN/>
              <w:bidi w:val="0"/>
              <w:adjustRightInd/>
              <w:snapToGrid/>
              <w:spacing w:beforeLines="0" w:afterLines="0"/>
              <w:textAlignment w:val="auto"/>
            </w:pPr>
            <w:r>
              <w:t>DFT-s-OFDM</w:t>
            </w: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Pi/2 BPSK</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5.0</w:t>
            </w:r>
            <w:r>
              <w:rPr>
                <w:vertAlign w:val="superscript"/>
              </w:rPr>
              <w:t>1</w:t>
            </w:r>
          </w:p>
        </w:tc>
        <w:tc>
          <w:tcPr>
            <w:tcW w:w="1540" w:type="dxa"/>
            <w:tcBorders>
              <w:top w:val="single" w:color="auto" w:sz="4" w:space="0"/>
              <w:left w:val="single" w:color="auto" w:sz="4" w:space="0"/>
              <w:bottom w:val="single" w:color="auto" w:sz="4" w:space="0"/>
              <w:right w:val="single" w:color="auto" w:sz="4" w:space="0"/>
            </w:tcBorders>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lang w:eastAsia="en-GB"/>
              </w:rPr>
              <w:t>≤ 7.7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8.2</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vAlign w:val="center"/>
          </w:tcPr>
          <w:p>
            <w:pPr>
              <w:pStyle w:val="60"/>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QPSK</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5.0</w:t>
            </w:r>
            <w:r>
              <w:rPr>
                <w:vertAlign w:val="superscript"/>
              </w:rPr>
              <w:t>1</w:t>
            </w:r>
          </w:p>
        </w:tc>
        <w:tc>
          <w:tcPr>
            <w:tcW w:w="1540" w:type="dxa"/>
            <w:tcBorders>
              <w:top w:val="single" w:color="auto" w:sz="4" w:space="0"/>
              <w:left w:val="single" w:color="auto" w:sz="4" w:space="0"/>
              <w:bottom w:val="single" w:color="auto" w:sz="4" w:space="0"/>
              <w:right w:val="single" w:color="auto" w:sz="4" w:space="0"/>
            </w:tcBorders>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lang w:eastAsia="en-GB"/>
              </w:rPr>
              <w:t>≤ 7.7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8.2</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vAlign w:val="center"/>
          </w:tcPr>
          <w:p>
            <w:pPr>
              <w:pStyle w:val="60"/>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16 QAM</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6.5</w:t>
            </w:r>
          </w:p>
        </w:tc>
        <w:tc>
          <w:tcPr>
            <w:tcW w:w="1540"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8.7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9.3</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single" w:color="auto" w:sz="4" w:space="0"/>
            </w:tcBorders>
            <w:shd w:val="clear" w:color="auto" w:fill="auto"/>
            <w:vAlign w:val="center"/>
          </w:tcPr>
          <w:p>
            <w:pPr>
              <w:pStyle w:val="60"/>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64 QAM</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9.0</w:t>
            </w:r>
          </w:p>
        </w:tc>
        <w:tc>
          <w:tcPr>
            <w:tcW w:w="1540"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10.7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11.2</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bottom w:val="nil"/>
            </w:tcBorders>
            <w:shd w:val="clear" w:color="auto" w:fill="auto"/>
            <w:vAlign w:val="center"/>
          </w:tcPr>
          <w:p>
            <w:pPr>
              <w:pStyle w:val="60"/>
              <w:keepNext/>
              <w:keepLines/>
              <w:pageBreakBefore w:val="0"/>
              <w:widowControl/>
              <w:kinsoku/>
              <w:wordWrap/>
              <w:overflowPunct/>
              <w:topLinePunct w:val="0"/>
              <w:autoSpaceDE/>
              <w:autoSpaceDN/>
              <w:bidi w:val="0"/>
              <w:adjustRightInd/>
              <w:snapToGrid/>
              <w:spacing w:beforeLines="0" w:afterLines="0"/>
              <w:textAlignment w:val="auto"/>
            </w:pPr>
            <w:r>
              <w:t>CP-OFDM</w:t>
            </w: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QPSK</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5.0</w:t>
            </w:r>
          </w:p>
        </w:tc>
        <w:tc>
          <w:tcPr>
            <w:tcW w:w="1540"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7.5</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8.0</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16 QAM</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6.5</w:t>
            </w:r>
          </w:p>
        </w:tc>
        <w:tc>
          <w:tcPr>
            <w:tcW w:w="1540"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8.7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9.2</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tcBorders>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64 QAM</w:t>
            </w:r>
          </w:p>
        </w:tc>
        <w:tc>
          <w:tcPr>
            <w:tcW w:w="1774" w:type="dxa"/>
            <w:shd w:val="clear" w:color="auto" w:fill="auto"/>
          </w:tcPr>
          <w:p>
            <w:pPr>
              <w:pStyle w:val="60"/>
              <w:keepNext/>
              <w:keepLines/>
              <w:pageBreakBefore w:val="0"/>
              <w:widowControl/>
              <w:kinsoku/>
              <w:wordWrap/>
              <w:overflowPunct/>
              <w:topLinePunct w:val="0"/>
              <w:autoSpaceDE/>
              <w:autoSpaceDN/>
              <w:bidi w:val="0"/>
              <w:adjustRightInd/>
              <w:snapToGrid/>
              <w:spacing w:beforeLines="0" w:afterLines="0"/>
              <w:textAlignment w:val="auto"/>
            </w:pPr>
            <w:r>
              <w:t>≤ 9.0</w:t>
            </w:r>
          </w:p>
        </w:tc>
        <w:tc>
          <w:tcPr>
            <w:tcW w:w="1540"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10.7</w:t>
            </w:r>
          </w:p>
        </w:tc>
        <w:tc>
          <w:tcPr>
            <w:tcW w:w="1555"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t>≤ 11.2</w:t>
            </w:r>
          </w:p>
        </w:tc>
        <w:tc>
          <w:tcPr>
            <w:tcW w:w="1438" w:type="dxa"/>
          </w:tcPr>
          <w:p>
            <w:pPr>
              <w:pStyle w:val="60"/>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31" w:type="dxa"/>
            <w:gridSpan w:val="6"/>
            <w:shd w:val="clear" w:color="auto" w:fill="auto"/>
            <w:vAlign w:val="center"/>
          </w:tcPr>
          <w:p>
            <w:pPr>
              <w:pStyle w:val="73"/>
              <w:keepNext/>
              <w:keepLines/>
              <w:pageBreakBefore w:val="0"/>
              <w:widowControl/>
              <w:kinsoku/>
              <w:wordWrap/>
              <w:overflowPunct/>
              <w:topLinePunct w:val="0"/>
              <w:autoSpaceDE/>
              <w:autoSpaceDN/>
              <w:bidi w:val="0"/>
              <w:adjustRightInd/>
              <w:snapToGrid/>
              <w:spacing w:beforeLines="0" w:afterLines="0"/>
              <w:textAlignment w:val="auto"/>
              <w:rPr>
                <w:lang w:eastAsia="ko-KR"/>
              </w:rPr>
            </w:pPr>
            <w:r>
              <w:rPr>
                <w:lang w:eastAsia="ko-KR"/>
              </w:rPr>
              <w:t>NOTE 1:</w:t>
            </w:r>
            <w:r>
              <w:tab/>
            </w:r>
            <w:r>
              <w:rPr>
                <w:lang w:eastAsia="ko-KR"/>
              </w:rPr>
              <w:t>(Void).</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sz w:val="20"/>
          <w:szCs w:val="20"/>
          <w:lang w:val="en-US" w:eastAsia="zh-CN"/>
        </w:rPr>
      </w:pPr>
      <w:r>
        <w:rPr>
          <w:rFonts w:hint="eastAsia"/>
          <w:b/>
          <w:bCs/>
          <w:i/>
          <w:iCs/>
          <w:sz w:val="20"/>
          <w:szCs w:val="20"/>
          <w:lang w:val="en-US" w:eastAsia="zh-CN"/>
        </w:rPr>
        <w:t>Proposal 3: For case 2, if a UE supports LO switching or has separate LOs for Tx and Rx, it also can decouple intra-band UL CA and intra-band DL CA. In this case, applied MPR could change from CABW to intra-band UL CA with UE capability.</w:t>
      </w:r>
    </w:p>
    <w:p>
      <w:pPr>
        <w:bidi w:val="0"/>
        <w:rPr>
          <w:rFonts w:hint="default"/>
          <w:sz w:val="20"/>
          <w:szCs w:val="20"/>
          <w:lang w:val="en-US" w:eastAsia="zh-CN"/>
        </w:rPr>
      </w:pPr>
      <w:r>
        <w:rPr>
          <w:rFonts w:hint="eastAsia"/>
          <w:sz w:val="20"/>
          <w:szCs w:val="20"/>
          <w:lang w:val="en-US" w:eastAsia="zh-CN"/>
        </w:rPr>
        <w:t>Case 3: intra-band UL CA with DL intra band CA (CC activation based)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sz w:val="20"/>
          <w:szCs w:val="20"/>
          <w:lang w:val="en-US" w:eastAsia="zh-CN"/>
        </w:rPr>
      </w:pPr>
      <w:r>
        <w:rPr>
          <w:rFonts w:hint="eastAsia"/>
          <w:i w:val="0"/>
          <w:iCs w:val="0"/>
          <w:sz w:val="20"/>
          <w:szCs w:val="20"/>
          <w:lang w:val="en-US" w:eastAsia="zh-CN"/>
        </w:rPr>
        <w:t xml:space="preserve">According to TS 38.321 section 5.9, SCell activation/deactivation can occur through four approaches as follows. By knowing which SCells are activated/deactivated, the number of UL CCs activation can also be determined. Hence, it also could </w:t>
      </w:r>
      <w:r>
        <w:rPr>
          <w:rFonts w:hint="eastAsia"/>
          <w:sz w:val="20"/>
          <w:szCs w:val="20"/>
          <w:lang w:val="en-US" w:eastAsia="zh-CN"/>
        </w:rPr>
        <w:t xml:space="preserve">separate intra-band UL CA and intra-band DL CA. If only one UL CC activation, we think single CC MPR can be utilized with UE capability, which is similar to case 1. If more than one UL CCs activation, it looks like case 2, applied MPR could change from CABW to intra-band UL CA with UE capability.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 xml:space="preserve">Proposal 4: If only one UL CC activation, we think single CC MPR can be utilized with UE capability, which is similar to case 1. If more than one UL CCs activation, it looks like case 2, applied MPR could change from CABW to intra-band UL CA with UE capability.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876" w:type="dxa"/>
            <w:shd w:val="clear" w:color="auto" w:fill="F1F1F1" w:themeFill="background1" w:themeFillShade="F2"/>
          </w:tcPr>
          <w:p>
            <w:pPr>
              <w:pStyle w:val="50"/>
              <w:overflowPunct w:val="0"/>
              <w:autoSpaceDE w:val="0"/>
              <w:autoSpaceDN w:val="0"/>
              <w:adjustRightInd w:val="0"/>
              <w:spacing w:after="180"/>
              <w:textAlignment w:val="baseline"/>
              <w:rPr>
                <w:sz w:val="20"/>
                <w:szCs w:val="20"/>
              </w:rPr>
            </w:pPr>
            <w:r>
              <w:rPr>
                <w:sz w:val="20"/>
                <w:szCs w:val="20"/>
                <w:lang w:eastAsia="ko-KR"/>
              </w:rPr>
              <w:t>1&gt;</w:t>
            </w:r>
            <w:r>
              <w:rPr>
                <w:sz w:val="20"/>
                <w:szCs w:val="20"/>
              </w:rPr>
              <w:tab/>
            </w:r>
            <w:r>
              <w:rPr>
                <w:sz w:val="20"/>
                <w:szCs w:val="20"/>
              </w:rPr>
              <w:t xml:space="preserve">if an SCell is configured with </w:t>
            </w:r>
            <w:r>
              <w:rPr>
                <w:i/>
                <w:sz w:val="20"/>
                <w:szCs w:val="20"/>
              </w:rPr>
              <w:t>sCellState</w:t>
            </w:r>
            <w:r>
              <w:rPr>
                <w:sz w:val="20"/>
                <w:szCs w:val="20"/>
              </w:rPr>
              <w:t xml:space="preserve"> set to </w:t>
            </w:r>
            <w:r>
              <w:rPr>
                <w:i/>
                <w:sz w:val="20"/>
                <w:szCs w:val="20"/>
              </w:rPr>
              <w:t>activated</w:t>
            </w:r>
            <w:r>
              <w:rPr>
                <w:sz w:val="20"/>
                <w:szCs w:val="20"/>
              </w:rPr>
              <w:t xml:space="preserve"> upon SCell configuration, or an </w:t>
            </w:r>
            <w:r>
              <w:rPr>
                <w:sz w:val="20"/>
                <w:szCs w:val="20"/>
                <w:lang w:eastAsia="ko-KR"/>
              </w:rPr>
              <w:t xml:space="preserve">SCell </w:t>
            </w:r>
            <w:r>
              <w:rPr>
                <w:sz w:val="20"/>
                <w:szCs w:val="20"/>
              </w:rPr>
              <w:t xml:space="preserve">Activation/Deactivation MAC </w:t>
            </w:r>
            <w:r>
              <w:rPr>
                <w:sz w:val="20"/>
                <w:szCs w:val="20"/>
                <w:lang w:eastAsia="ko-KR"/>
              </w:rPr>
              <w:t>CE</w:t>
            </w:r>
            <w:r>
              <w:rPr>
                <w:sz w:val="20"/>
                <w:szCs w:val="20"/>
              </w:rPr>
              <w:t xml:space="preserve"> or an Enhanced</w:t>
            </w:r>
            <w:r>
              <w:rPr>
                <w:rStyle w:val="32"/>
                <w:sz w:val="20"/>
                <w:szCs w:val="20"/>
              </w:rPr>
              <w:t xml:space="preserve"> </w:t>
            </w:r>
            <w:r>
              <w:rPr>
                <w:rFonts w:eastAsia="Yu Mincho"/>
                <w:sz w:val="20"/>
                <w:szCs w:val="20"/>
                <w:lang w:eastAsia="ko-KR"/>
              </w:rPr>
              <w:t xml:space="preserve">SCell Activation/Deactivation </w:t>
            </w:r>
            <w:r>
              <w:rPr>
                <w:sz w:val="20"/>
                <w:szCs w:val="20"/>
                <w:lang w:eastAsia="ko-KR"/>
              </w:rPr>
              <w:t xml:space="preserve">MAC CE is received </w:t>
            </w:r>
            <w:r>
              <w:rPr>
                <w:sz w:val="20"/>
                <w:szCs w:val="20"/>
              </w:rPr>
              <w:t>activating the SCell:</w:t>
            </w:r>
          </w:p>
          <w:p>
            <w:pPr>
              <w:pStyle w:val="54"/>
              <w:overflowPunct w:val="0"/>
              <w:autoSpaceDE w:val="0"/>
              <w:autoSpaceDN w:val="0"/>
              <w:adjustRightInd w:val="0"/>
              <w:spacing w:after="180"/>
              <w:textAlignment w:val="baseline"/>
              <w:rPr>
                <w:sz w:val="20"/>
                <w:szCs w:val="20"/>
                <w:lang w:eastAsia="ko-KR"/>
              </w:rPr>
            </w:pPr>
            <w:r>
              <w:rPr>
                <w:sz w:val="20"/>
                <w:szCs w:val="20"/>
                <w:lang w:eastAsia="ko-KR"/>
              </w:rPr>
              <w:t>2&gt;</w:t>
            </w:r>
            <w:r>
              <w:rPr>
                <w:sz w:val="20"/>
                <w:szCs w:val="20"/>
                <w:lang w:eastAsia="ko-KR"/>
              </w:rPr>
              <w:tab/>
            </w:r>
            <w:r>
              <w:rPr>
                <w:sz w:val="20"/>
                <w:szCs w:val="20"/>
                <w:lang w:eastAsia="ko-KR"/>
              </w:rPr>
              <w:t xml:space="preserve">if the SCell was deactivated prior to receiving this </w:t>
            </w:r>
            <w:r>
              <w:rPr>
                <w:sz w:val="20"/>
                <w:szCs w:val="20"/>
              </w:rPr>
              <w:t>Enhanced</w:t>
            </w:r>
            <w:r>
              <w:rPr>
                <w:rStyle w:val="32"/>
                <w:sz w:val="20"/>
                <w:szCs w:val="20"/>
              </w:rPr>
              <w:t xml:space="preserve"> </w:t>
            </w:r>
            <w:r>
              <w:rPr>
                <w:sz w:val="20"/>
                <w:szCs w:val="20"/>
                <w:lang w:eastAsia="ko-KR"/>
              </w:rPr>
              <w:t>SCell Activation/Deactivation MAC CE and a TRS is indicated for this SCell:</w:t>
            </w:r>
          </w:p>
          <w:p>
            <w:pPr>
              <w:overflowPunct w:val="0"/>
              <w:autoSpaceDE w:val="0"/>
              <w:autoSpaceDN w:val="0"/>
              <w:adjustRightInd w:val="0"/>
              <w:spacing w:after="180"/>
              <w:ind w:left="1135" w:hanging="284"/>
              <w:textAlignment w:val="baseline"/>
              <w:rPr>
                <w:sz w:val="20"/>
                <w:szCs w:val="20"/>
                <w:lang w:eastAsia="ko-KR"/>
              </w:rPr>
            </w:pPr>
            <w:r>
              <w:rPr>
                <w:sz w:val="20"/>
                <w:szCs w:val="20"/>
                <w:lang w:eastAsia="ko-KR"/>
              </w:rPr>
              <w:t>3&gt;</w:t>
            </w:r>
            <w:r>
              <w:rPr>
                <w:sz w:val="20"/>
                <w:szCs w:val="20"/>
                <w:lang w:eastAsia="ko-KR"/>
              </w:rPr>
              <w:tab/>
            </w:r>
            <w:r>
              <w:rPr>
                <w:sz w:val="20"/>
                <w:szCs w:val="20"/>
                <w:lang w:eastAsia="ko-KR"/>
              </w:rPr>
              <w:t>indicate to lower layers the information regarding the TRS.</w:t>
            </w:r>
          </w:p>
          <w:p>
            <w:pPr>
              <w:pStyle w:val="54"/>
              <w:overflowPunct w:val="0"/>
              <w:autoSpaceDE w:val="0"/>
              <w:autoSpaceDN w:val="0"/>
              <w:adjustRightInd w:val="0"/>
              <w:spacing w:after="180"/>
              <w:textAlignment w:val="baseline"/>
              <w:rPr>
                <w:sz w:val="20"/>
                <w:szCs w:val="20"/>
                <w:lang w:eastAsia="ko-KR"/>
              </w:rPr>
            </w:pPr>
            <w:r>
              <w:rPr>
                <w:sz w:val="20"/>
                <w:szCs w:val="20"/>
                <w:lang w:eastAsia="ko-KR"/>
              </w:rPr>
              <w:t>2&gt;</w:t>
            </w:r>
            <w:r>
              <w:rPr>
                <w:sz w:val="20"/>
                <w:szCs w:val="20"/>
                <w:lang w:eastAsia="ko-KR"/>
              </w:rPr>
              <w:tab/>
            </w:r>
            <w:r>
              <w:rPr>
                <w:sz w:val="20"/>
                <w:szCs w:val="20"/>
                <w:lang w:eastAsia="ko-KR"/>
              </w:rPr>
              <w:t>if the SCell was deactivated prior to receiving this SCell Activation/Deactivation MAC CE or this</w:t>
            </w:r>
            <w:r>
              <w:rPr>
                <w:sz w:val="20"/>
                <w:szCs w:val="20"/>
              </w:rPr>
              <w:t xml:space="preserve"> Enhanced</w:t>
            </w:r>
            <w:r>
              <w:rPr>
                <w:rStyle w:val="32"/>
                <w:sz w:val="20"/>
                <w:szCs w:val="20"/>
              </w:rPr>
              <w:t xml:space="preserve"> </w:t>
            </w:r>
            <w:r>
              <w:rPr>
                <w:sz w:val="20"/>
                <w:szCs w:val="20"/>
                <w:lang w:eastAsia="ko-KR"/>
              </w:rPr>
              <w:t>SCell Activation/Deactivation MAC CE; or</w:t>
            </w:r>
          </w:p>
          <w:p>
            <w:pPr>
              <w:pStyle w:val="54"/>
              <w:overflowPunct w:val="0"/>
              <w:autoSpaceDE w:val="0"/>
              <w:autoSpaceDN w:val="0"/>
              <w:adjustRightInd w:val="0"/>
              <w:spacing w:after="180"/>
              <w:textAlignment w:val="baseline"/>
              <w:rPr>
                <w:sz w:val="20"/>
                <w:szCs w:val="20"/>
                <w:lang w:eastAsia="ko-KR"/>
              </w:rPr>
            </w:pPr>
            <w:r>
              <w:rPr>
                <w:sz w:val="20"/>
                <w:szCs w:val="20"/>
                <w:lang w:eastAsia="ko-KR"/>
              </w:rPr>
              <w:t>2&gt;</w:t>
            </w:r>
            <w:r>
              <w:rPr>
                <w:sz w:val="20"/>
                <w:szCs w:val="20"/>
                <w:lang w:eastAsia="ko-KR"/>
              </w:rPr>
              <w:tab/>
            </w:r>
            <w:r>
              <w:rPr>
                <w:sz w:val="20"/>
                <w:szCs w:val="20"/>
                <w:lang w:eastAsia="ko-KR"/>
              </w:rPr>
              <w:t xml:space="preserve">if the SCell is configured with </w:t>
            </w:r>
            <w:r>
              <w:rPr>
                <w:i/>
                <w:iCs/>
                <w:sz w:val="20"/>
                <w:szCs w:val="20"/>
                <w:lang w:eastAsia="ko-KR"/>
              </w:rPr>
              <w:t>sCellState</w:t>
            </w:r>
            <w:r>
              <w:rPr>
                <w:sz w:val="20"/>
                <w:szCs w:val="20"/>
                <w:lang w:eastAsia="ko-KR"/>
              </w:rPr>
              <w:t xml:space="preserve"> set to </w:t>
            </w:r>
            <w:r>
              <w:rPr>
                <w:i/>
                <w:iCs/>
                <w:sz w:val="20"/>
                <w:szCs w:val="20"/>
                <w:lang w:eastAsia="ko-KR"/>
              </w:rPr>
              <w:t>activated</w:t>
            </w:r>
            <w:r>
              <w:rPr>
                <w:sz w:val="20"/>
                <w:szCs w:val="20"/>
                <w:lang w:eastAsia="ko-KR"/>
              </w:rPr>
              <w:t xml:space="preserve"> upon SCell configuration:</w:t>
            </w:r>
          </w:p>
          <w:p>
            <w:pPr>
              <w:pStyle w:val="51"/>
              <w:overflowPunct w:val="0"/>
              <w:autoSpaceDE w:val="0"/>
              <w:autoSpaceDN w:val="0"/>
              <w:adjustRightInd w:val="0"/>
              <w:spacing w:after="180"/>
              <w:textAlignment w:val="baseline"/>
              <w:rPr>
                <w:sz w:val="20"/>
                <w:szCs w:val="20"/>
                <w:lang w:eastAsia="ko-KR"/>
              </w:rPr>
            </w:pPr>
            <w:r>
              <w:rPr>
                <w:sz w:val="20"/>
                <w:szCs w:val="20"/>
                <w:lang w:eastAsia="ko-KR"/>
              </w:rPr>
              <w:t>3&gt;</w:t>
            </w:r>
            <w:r>
              <w:rPr>
                <w:sz w:val="20"/>
                <w:szCs w:val="20"/>
              </w:rPr>
              <w:tab/>
            </w:r>
            <w:r>
              <w:rPr>
                <w:sz w:val="20"/>
                <w:szCs w:val="20"/>
                <w:lang w:eastAsia="zh-CN"/>
              </w:rPr>
              <w:t xml:space="preserve">if </w:t>
            </w:r>
            <w:r>
              <w:rPr>
                <w:i/>
                <w:iCs/>
                <w:sz w:val="20"/>
                <w:szCs w:val="20"/>
              </w:rPr>
              <w:t>firstActiveDownlinkBWP-Id</w:t>
            </w:r>
            <w:r>
              <w:rPr>
                <w:sz w:val="20"/>
                <w:szCs w:val="20"/>
              </w:rPr>
              <w:t xml:space="preserve"> is not set to dormant BWP</w:t>
            </w:r>
            <w:r>
              <w:rPr>
                <w:sz w:val="20"/>
                <w:szCs w:val="20"/>
                <w:lang w:eastAsia="zh-CN"/>
              </w:rPr>
              <w:t>:</w:t>
            </w:r>
          </w:p>
          <w:p>
            <w:pPr>
              <w:pStyle w:val="55"/>
              <w:overflowPunct w:val="0"/>
              <w:autoSpaceDE w:val="0"/>
              <w:autoSpaceDN w:val="0"/>
              <w:adjustRightInd w:val="0"/>
              <w:spacing w:after="180"/>
              <w:textAlignment w:val="baseline"/>
              <w:rPr>
                <w:sz w:val="20"/>
                <w:szCs w:val="20"/>
              </w:rPr>
            </w:pPr>
            <w:r>
              <w:rPr>
                <w:sz w:val="20"/>
                <w:szCs w:val="20"/>
                <w:lang w:eastAsia="ko-KR"/>
              </w:rPr>
              <w:t>4&gt;</w:t>
            </w:r>
            <w:r>
              <w:rPr>
                <w:sz w:val="20"/>
                <w:szCs w:val="20"/>
              </w:rPr>
              <w:tab/>
            </w:r>
            <w:r>
              <w:rPr>
                <w:sz w:val="20"/>
                <w:szCs w:val="20"/>
              </w:rPr>
              <w:t>activate the SCell according to the timing defined in TS 38.213 [6] for MAC CE activation and according to the timing defined in TS 38.133 [11] for direct SCell activation; i.e. apply normal SCell operation including:</w:t>
            </w:r>
          </w:p>
          <w:p>
            <w:pPr>
              <w:pStyle w:val="62"/>
              <w:overflowPunct w:val="0"/>
              <w:autoSpaceDE w:val="0"/>
              <w:autoSpaceDN w:val="0"/>
              <w:adjustRightInd w:val="0"/>
              <w:spacing w:after="180"/>
              <w:textAlignment w:val="baseline"/>
              <w:rPr>
                <w:sz w:val="20"/>
                <w:szCs w:val="20"/>
                <w:lang w:eastAsia="ko-KR"/>
              </w:rPr>
            </w:pPr>
            <w:r>
              <w:rPr>
                <w:sz w:val="20"/>
                <w:szCs w:val="20"/>
                <w:lang w:eastAsia="ko-KR"/>
              </w:rPr>
              <w:t>5&gt;</w:t>
            </w:r>
            <w:r>
              <w:rPr>
                <w:sz w:val="20"/>
                <w:szCs w:val="20"/>
                <w:lang w:eastAsia="ko-KR"/>
              </w:rPr>
              <w:tab/>
            </w:r>
            <w:r>
              <w:rPr>
                <w:sz w:val="20"/>
                <w:szCs w:val="20"/>
                <w:lang w:eastAsia="ko-KR"/>
              </w:rPr>
              <w:t>SRS transmissions on the SCell;</w:t>
            </w:r>
          </w:p>
          <w:p>
            <w:pPr>
              <w:pStyle w:val="62"/>
              <w:overflowPunct w:val="0"/>
              <w:autoSpaceDE w:val="0"/>
              <w:autoSpaceDN w:val="0"/>
              <w:adjustRightInd w:val="0"/>
              <w:spacing w:after="180"/>
              <w:textAlignment w:val="baseline"/>
              <w:rPr>
                <w:sz w:val="20"/>
                <w:szCs w:val="20"/>
                <w:lang w:eastAsia="ko-KR"/>
              </w:rPr>
            </w:pPr>
            <w:r>
              <w:rPr>
                <w:sz w:val="20"/>
                <w:szCs w:val="20"/>
                <w:lang w:eastAsia="ko-KR"/>
              </w:rPr>
              <w:t>5&gt;</w:t>
            </w:r>
            <w:r>
              <w:rPr>
                <w:sz w:val="20"/>
                <w:szCs w:val="20"/>
                <w:lang w:eastAsia="ko-KR"/>
              </w:rPr>
              <w:tab/>
            </w:r>
            <w:r>
              <w:rPr>
                <w:sz w:val="20"/>
                <w:szCs w:val="20"/>
                <w:lang w:eastAsia="ko-KR"/>
              </w:rPr>
              <w:t>CSI reporting for the SCell;</w:t>
            </w:r>
          </w:p>
          <w:p>
            <w:pPr>
              <w:pStyle w:val="62"/>
              <w:overflowPunct w:val="0"/>
              <w:autoSpaceDE w:val="0"/>
              <w:autoSpaceDN w:val="0"/>
              <w:adjustRightInd w:val="0"/>
              <w:spacing w:after="180"/>
              <w:textAlignment w:val="baseline"/>
              <w:rPr>
                <w:sz w:val="20"/>
                <w:szCs w:val="20"/>
                <w:lang w:eastAsia="ko-KR"/>
              </w:rPr>
            </w:pPr>
            <w:r>
              <w:rPr>
                <w:sz w:val="20"/>
                <w:szCs w:val="20"/>
                <w:lang w:eastAsia="ko-KR"/>
              </w:rPr>
              <w:t>5&gt;</w:t>
            </w:r>
            <w:r>
              <w:rPr>
                <w:sz w:val="20"/>
                <w:szCs w:val="20"/>
                <w:lang w:eastAsia="ko-KR"/>
              </w:rPr>
              <w:tab/>
            </w:r>
            <w:r>
              <w:rPr>
                <w:sz w:val="20"/>
                <w:szCs w:val="20"/>
                <w:lang w:eastAsia="ko-KR"/>
              </w:rPr>
              <w:t>PDCCH monitoring on the SCell;</w:t>
            </w:r>
          </w:p>
          <w:p>
            <w:pPr>
              <w:pStyle w:val="62"/>
              <w:overflowPunct w:val="0"/>
              <w:autoSpaceDE w:val="0"/>
              <w:autoSpaceDN w:val="0"/>
              <w:adjustRightInd w:val="0"/>
              <w:spacing w:after="180"/>
              <w:textAlignment w:val="baseline"/>
              <w:rPr>
                <w:sz w:val="20"/>
                <w:szCs w:val="20"/>
                <w:lang w:eastAsia="ko-KR"/>
              </w:rPr>
            </w:pPr>
            <w:r>
              <w:rPr>
                <w:sz w:val="20"/>
                <w:szCs w:val="20"/>
                <w:lang w:eastAsia="ko-KR"/>
              </w:rPr>
              <w:t>5&gt;</w:t>
            </w:r>
            <w:r>
              <w:rPr>
                <w:sz w:val="20"/>
                <w:szCs w:val="20"/>
                <w:lang w:eastAsia="ko-KR"/>
              </w:rPr>
              <w:tab/>
            </w:r>
            <w:r>
              <w:rPr>
                <w:sz w:val="20"/>
                <w:szCs w:val="20"/>
                <w:lang w:eastAsia="ko-KR"/>
              </w:rPr>
              <w:t>PDCCH monitoring for the SCell;</w:t>
            </w:r>
          </w:p>
          <w:p>
            <w:pPr>
              <w:pStyle w:val="62"/>
              <w:overflowPunct w:val="0"/>
              <w:autoSpaceDE w:val="0"/>
              <w:autoSpaceDN w:val="0"/>
              <w:adjustRightInd w:val="0"/>
              <w:spacing w:after="180"/>
              <w:textAlignment w:val="baseline"/>
              <w:rPr>
                <w:sz w:val="20"/>
                <w:szCs w:val="20"/>
                <w:lang w:eastAsia="ko-KR"/>
              </w:rPr>
            </w:pPr>
            <w:r>
              <w:rPr>
                <w:sz w:val="20"/>
                <w:szCs w:val="20"/>
                <w:lang w:eastAsia="ko-KR"/>
              </w:rPr>
              <w:t>5&gt;</w:t>
            </w:r>
            <w:r>
              <w:rPr>
                <w:sz w:val="20"/>
                <w:szCs w:val="20"/>
                <w:lang w:eastAsia="ko-KR"/>
              </w:rPr>
              <w:tab/>
            </w:r>
            <w:r>
              <w:rPr>
                <w:sz w:val="20"/>
                <w:szCs w:val="20"/>
                <w:lang w:eastAsia="ko-KR"/>
              </w:rPr>
              <w:t>PUCCH transmissions on the SCell, if configured.</w:t>
            </w:r>
          </w:p>
          <w:p>
            <w:pPr>
              <w:pStyle w:val="51"/>
              <w:overflowPunct w:val="0"/>
              <w:autoSpaceDE w:val="0"/>
              <w:autoSpaceDN w:val="0"/>
              <w:adjustRightInd w:val="0"/>
              <w:spacing w:after="180"/>
              <w:textAlignment w:val="baseline"/>
              <w:rPr>
                <w:sz w:val="20"/>
                <w:szCs w:val="20"/>
                <w:lang w:eastAsia="ko-KR"/>
              </w:rPr>
            </w:pPr>
            <w:r>
              <w:rPr>
                <w:sz w:val="20"/>
                <w:szCs w:val="20"/>
                <w:lang w:eastAsia="zh-CN"/>
              </w:rPr>
              <w:t>3</w:t>
            </w:r>
            <w:r>
              <w:rPr>
                <w:sz w:val="20"/>
                <w:szCs w:val="20"/>
                <w:lang w:eastAsia="ko-KR"/>
              </w:rPr>
              <w:t>&gt;</w:t>
            </w:r>
            <w:r>
              <w:rPr>
                <w:sz w:val="20"/>
                <w:szCs w:val="20"/>
                <w:lang w:eastAsia="ko-KR"/>
              </w:rPr>
              <w:tab/>
            </w:r>
            <w:r>
              <w:rPr>
                <w:sz w:val="20"/>
                <w:szCs w:val="20"/>
                <w:lang w:eastAsia="ko-KR"/>
              </w:rPr>
              <w:t xml:space="preserve">else (i.e. </w:t>
            </w:r>
            <w:r>
              <w:rPr>
                <w:i/>
                <w:iCs/>
                <w:sz w:val="20"/>
                <w:szCs w:val="20"/>
                <w:lang w:eastAsia="ko-KR"/>
              </w:rPr>
              <w:t>firstActiveDownlinkBWP-Id</w:t>
            </w:r>
            <w:r>
              <w:rPr>
                <w:sz w:val="20"/>
                <w:szCs w:val="20"/>
                <w:lang w:eastAsia="ko-KR"/>
              </w:rPr>
              <w:t xml:space="preserve"> is set to dormant BWP):</w:t>
            </w:r>
          </w:p>
          <w:p>
            <w:pPr>
              <w:pStyle w:val="55"/>
              <w:overflowPunct w:val="0"/>
              <w:autoSpaceDE w:val="0"/>
              <w:autoSpaceDN w:val="0"/>
              <w:adjustRightInd w:val="0"/>
              <w:spacing w:after="180"/>
              <w:textAlignment w:val="baseline"/>
              <w:rPr>
                <w:sz w:val="20"/>
                <w:szCs w:val="20"/>
                <w:lang w:eastAsia="zh-CN"/>
              </w:rPr>
            </w:pPr>
            <w:bookmarkStart w:id="11" w:name="_Hlk34312785"/>
            <w:r>
              <w:rPr>
                <w:sz w:val="20"/>
                <w:szCs w:val="20"/>
                <w:lang w:eastAsia="zh-CN"/>
              </w:rPr>
              <w:t>4&gt;</w:t>
            </w:r>
            <w:r>
              <w:rPr>
                <w:sz w:val="20"/>
                <w:szCs w:val="20"/>
                <w:lang w:eastAsia="zh-CN"/>
              </w:rPr>
              <w:tab/>
            </w:r>
            <w:r>
              <w:rPr>
                <w:sz w:val="20"/>
                <w:szCs w:val="20"/>
                <w:lang w:eastAsia="zh-CN"/>
              </w:rPr>
              <w:t xml:space="preserve">stop the </w:t>
            </w:r>
            <w:r>
              <w:rPr>
                <w:i/>
                <w:sz w:val="20"/>
                <w:szCs w:val="20"/>
                <w:lang w:eastAsia="zh-CN"/>
              </w:rPr>
              <w:t>bwp-InactivityTimer</w:t>
            </w:r>
            <w:r>
              <w:rPr>
                <w:sz w:val="20"/>
                <w:szCs w:val="20"/>
                <w:lang w:eastAsia="zh-CN"/>
              </w:rPr>
              <w:t xml:space="preserve"> of this Serving Cell, if running.</w:t>
            </w:r>
          </w:p>
          <w:bookmarkEnd w:id="11"/>
          <w:p>
            <w:pPr>
              <w:pStyle w:val="51"/>
              <w:overflowPunct w:val="0"/>
              <w:autoSpaceDE w:val="0"/>
              <w:autoSpaceDN w:val="0"/>
              <w:adjustRightInd w:val="0"/>
              <w:spacing w:after="180"/>
              <w:textAlignment w:val="baseline"/>
              <w:rPr>
                <w:sz w:val="20"/>
                <w:szCs w:val="20"/>
                <w:lang w:eastAsia="ko-KR"/>
              </w:rPr>
            </w:pPr>
            <w:r>
              <w:rPr>
                <w:sz w:val="20"/>
                <w:szCs w:val="20"/>
                <w:lang w:eastAsia="ko-KR"/>
              </w:rPr>
              <w:t>3&gt;</w:t>
            </w:r>
            <w:r>
              <w:rPr>
                <w:sz w:val="20"/>
                <w:szCs w:val="20"/>
                <w:lang w:eastAsia="ko-KR"/>
              </w:rPr>
              <w:tab/>
            </w:r>
            <w:r>
              <w:rPr>
                <w:sz w:val="20"/>
                <w:szCs w:val="20"/>
                <w:lang w:eastAsia="ko-KR"/>
              </w:rPr>
              <w:t xml:space="preserve">activate the DL BWP and UL BWP indicated by </w:t>
            </w:r>
            <w:r>
              <w:rPr>
                <w:i/>
                <w:iCs/>
                <w:sz w:val="20"/>
                <w:szCs w:val="20"/>
                <w:lang w:eastAsia="ko-KR"/>
              </w:rPr>
              <w:t>firstActiveDownlinkBWP-Id</w:t>
            </w:r>
            <w:r>
              <w:rPr>
                <w:sz w:val="20"/>
                <w:szCs w:val="20"/>
                <w:lang w:eastAsia="ko-KR"/>
              </w:rPr>
              <w:t xml:space="preserve"> and </w:t>
            </w:r>
            <w:r>
              <w:rPr>
                <w:i/>
                <w:iCs/>
                <w:sz w:val="20"/>
                <w:szCs w:val="20"/>
                <w:lang w:eastAsia="ko-KR"/>
              </w:rPr>
              <w:t>firstActiveUplinkBWP-Id</w:t>
            </w:r>
            <w:r>
              <w:rPr>
                <w:sz w:val="20"/>
                <w:szCs w:val="20"/>
                <w:lang w:eastAsia="ko-KR"/>
              </w:rPr>
              <w:t xml:space="preserve"> respectively.</w:t>
            </w:r>
          </w:p>
          <w:p>
            <w:pPr>
              <w:pStyle w:val="54"/>
              <w:overflowPunct w:val="0"/>
              <w:autoSpaceDE w:val="0"/>
              <w:autoSpaceDN w:val="0"/>
              <w:adjustRightInd w:val="0"/>
              <w:spacing w:after="180"/>
              <w:textAlignment w:val="baseline"/>
              <w:rPr>
                <w:sz w:val="20"/>
                <w:szCs w:val="20"/>
                <w:lang w:eastAsia="ko-KR"/>
              </w:rPr>
            </w:pPr>
            <w:r>
              <w:rPr>
                <w:sz w:val="20"/>
                <w:szCs w:val="20"/>
                <w:lang w:eastAsia="ko-KR"/>
              </w:rPr>
              <w:t>2&gt;</w:t>
            </w:r>
            <w:r>
              <w:rPr>
                <w:sz w:val="20"/>
                <w:szCs w:val="20"/>
                <w:lang w:eastAsia="ko-KR"/>
              </w:rPr>
              <w:tab/>
            </w:r>
            <w:r>
              <w:rPr>
                <w:sz w:val="20"/>
                <w:szCs w:val="20"/>
                <w:lang w:eastAsia="ko-KR"/>
              </w:rPr>
              <w:t xml:space="preserve">start or restart the </w:t>
            </w:r>
            <w:r>
              <w:rPr>
                <w:i/>
                <w:iCs/>
                <w:sz w:val="20"/>
                <w:szCs w:val="20"/>
                <w:lang w:eastAsia="ko-KR"/>
              </w:rPr>
              <w:t>sCellDeactivationTimer</w:t>
            </w:r>
            <w:r>
              <w:rPr>
                <w:sz w:val="20"/>
                <w:szCs w:val="20"/>
                <w:lang w:eastAsia="ko-KR"/>
              </w:rPr>
              <w:t xml:space="preserve"> associated with the SCell according to the timing defined in TS 38.213 [6] for MAC CE activation and according to the timing defined in TS 38.133 [11] for direct SCell activation;</w:t>
            </w:r>
          </w:p>
          <w:p>
            <w:pPr>
              <w:pStyle w:val="54"/>
              <w:overflowPunct w:val="0"/>
              <w:autoSpaceDE w:val="0"/>
              <w:autoSpaceDN w:val="0"/>
              <w:adjustRightInd w:val="0"/>
              <w:spacing w:after="180"/>
              <w:textAlignment w:val="baseline"/>
              <w:rPr>
                <w:sz w:val="20"/>
                <w:szCs w:val="20"/>
                <w:lang w:eastAsia="ko-KR"/>
              </w:rPr>
            </w:pPr>
            <w:r>
              <w:rPr>
                <w:sz w:val="20"/>
                <w:szCs w:val="20"/>
                <w:lang w:eastAsia="ko-KR"/>
              </w:rPr>
              <w:t>2&gt;</w:t>
            </w:r>
            <w:r>
              <w:rPr>
                <w:sz w:val="20"/>
                <w:szCs w:val="20"/>
                <w:lang w:eastAsia="ko-KR"/>
              </w:rPr>
              <w:tab/>
            </w:r>
            <w:r>
              <w:rPr>
                <w:sz w:val="20"/>
                <w:szCs w:val="20"/>
                <w:lang w:eastAsia="ko-KR"/>
              </w:rPr>
              <w:t>if the active DL BWP is not the dormant BWP:</w:t>
            </w:r>
          </w:p>
          <w:p>
            <w:pPr>
              <w:pStyle w:val="51"/>
              <w:overflowPunct w:val="0"/>
              <w:autoSpaceDE w:val="0"/>
              <w:autoSpaceDN w:val="0"/>
              <w:adjustRightInd w:val="0"/>
              <w:spacing w:after="180"/>
              <w:textAlignment w:val="baseline"/>
              <w:rPr>
                <w:sz w:val="20"/>
                <w:szCs w:val="20"/>
                <w:lang w:eastAsia="ko-KR"/>
              </w:rPr>
            </w:pPr>
            <w:r>
              <w:rPr>
                <w:sz w:val="20"/>
                <w:szCs w:val="20"/>
                <w:lang w:eastAsia="ko-KR"/>
              </w:rPr>
              <w:t>3&gt;</w:t>
            </w:r>
            <w:r>
              <w:rPr>
                <w:sz w:val="20"/>
                <w:szCs w:val="20"/>
                <w:lang w:eastAsia="ko-KR"/>
              </w:rPr>
              <w:tab/>
            </w:r>
            <w:r>
              <w:rPr>
                <w:sz w:val="20"/>
                <w:szCs w:val="20"/>
                <w:lang w:eastAsia="ko-KR"/>
              </w:rPr>
              <w:t>(re-)initialize any suspended configured uplink grants of configured grant Type 1 associated with this SCell according to the stored configuration, if any, and to start in the symbol according to rules in clause 5.8.2;</w:t>
            </w:r>
          </w:p>
          <w:p>
            <w:pPr>
              <w:pStyle w:val="51"/>
              <w:overflowPunct w:val="0"/>
              <w:autoSpaceDE w:val="0"/>
              <w:autoSpaceDN w:val="0"/>
              <w:adjustRightInd w:val="0"/>
              <w:spacing w:after="180"/>
              <w:textAlignment w:val="baseline"/>
              <w:rPr>
                <w:rFonts w:hint="eastAsia"/>
                <w:i w:val="0"/>
                <w:iCs w:val="0"/>
                <w:sz w:val="20"/>
                <w:szCs w:val="20"/>
                <w:vertAlign w:val="baseline"/>
                <w:lang w:val="en-US" w:eastAsia="zh-CN"/>
              </w:rPr>
            </w:pPr>
            <w:r>
              <w:rPr>
                <w:sz w:val="20"/>
                <w:szCs w:val="20"/>
                <w:lang w:eastAsia="ko-KR"/>
              </w:rPr>
              <w:t>3&gt;</w:t>
            </w:r>
            <w:r>
              <w:rPr>
                <w:sz w:val="20"/>
                <w:szCs w:val="20"/>
                <w:lang w:eastAsia="ko-KR"/>
              </w:rPr>
              <w:tab/>
            </w:r>
            <w:r>
              <w:rPr>
                <w:sz w:val="20"/>
                <w:szCs w:val="20"/>
                <w:lang w:eastAsia="ko-KR"/>
              </w:rPr>
              <w:t>trigger PHR according to clause 5.4.6.</w:t>
            </w:r>
          </w:p>
        </w:tc>
      </w:tr>
    </w:tbl>
    <w:p>
      <w:pPr>
        <w:bidi w:val="0"/>
        <w:rPr>
          <w:rFonts w:hint="eastAsia"/>
          <w:i w:val="0"/>
          <w:iCs w:val="0"/>
          <w:sz w:val="20"/>
          <w:szCs w:val="20"/>
          <w:lang w:val="en-US" w:eastAsia="zh-CN"/>
        </w:rPr>
      </w:pPr>
    </w:p>
    <w:p>
      <w:pPr>
        <w:bidi w:val="0"/>
        <w:rPr>
          <w:rFonts w:hint="default"/>
          <w:i w:val="0"/>
          <w:iCs w:val="0"/>
          <w:sz w:val="20"/>
          <w:szCs w:val="20"/>
          <w:lang w:val="en-US" w:eastAsia="zh-CN"/>
        </w:rPr>
      </w:pPr>
      <w:r>
        <w:rPr>
          <w:rFonts w:hint="eastAsia"/>
          <w:i w:val="0"/>
          <w:iCs w:val="0"/>
          <w:sz w:val="20"/>
          <w:szCs w:val="20"/>
          <w:lang w:val="en-US" w:eastAsia="zh-CN"/>
        </w:rPr>
        <w:t>For FR2 UEs, it is necessary to introduce to a new UE capability of changing applicable MPR from CABW dependent to UL carrier/CABW dependent. This new UE capability could be an optional feature based on whether UEs support fast LO switching or dedicated LOs for Tx and Rx paths, and it could be release independent.</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5: It is necessary to introduce to a new UE capability of changing applicable MPR from CABW dependent to UL carrier/CABW dependent. This new UE capability could be optional and release independent.</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MPR applicability for FR2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eastAsia"/>
          <w:i w:val="0"/>
          <w:iCs w:val="0"/>
          <w:sz w:val="20"/>
          <w:szCs w:val="20"/>
          <w:lang w:val="en-US" w:eastAsia="zh-CN"/>
        </w:rPr>
      </w:pPr>
      <w:r>
        <w:rPr>
          <w:rFonts w:hint="eastAsia"/>
          <w:b/>
          <w:bCs/>
          <w:i/>
          <w:iCs/>
          <w:sz w:val="20"/>
          <w:szCs w:val="20"/>
          <w:lang w:val="en-US" w:eastAsia="zh-CN"/>
        </w:rPr>
        <w:t>Proposal 1: It is feasible for UEs with fast LO switching or with dedicated LOs for Tx and Rx paths to change applicable MPR from CABW dependent to UL carrier/CABW dependent.</w:t>
      </w:r>
    </w:p>
    <w:p>
      <w:pPr>
        <w:bidi w:val="0"/>
        <w:rPr>
          <w:rFonts w:hint="default"/>
          <w:sz w:val="20"/>
          <w:szCs w:val="20"/>
          <w:lang w:val="en-US" w:eastAsia="zh-CN"/>
        </w:rPr>
      </w:pPr>
      <w:r>
        <w:rPr>
          <w:rFonts w:hint="eastAsia"/>
          <w:b/>
          <w:bCs/>
          <w:i/>
          <w:iCs/>
          <w:sz w:val="20"/>
          <w:szCs w:val="20"/>
          <w:lang w:val="en-US" w:eastAsia="zh-CN"/>
        </w:rPr>
        <w:t>Proposal 2: For single UL CC with intra-band DL CA, it can use MPR for single CC based on power class, channel bandwidth and frequency range of single UL CC with UE capability.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sz w:val="20"/>
          <w:szCs w:val="20"/>
          <w:lang w:val="en-US" w:eastAsia="zh-CN"/>
        </w:rPr>
      </w:pPr>
      <w:r>
        <w:rPr>
          <w:rFonts w:hint="eastAsia"/>
          <w:b/>
          <w:bCs/>
          <w:i/>
          <w:iCs/>
          <w:sz w:val="20"/>
          <w:szCs w:val="20"/>
          <w:lang w:val="en-US" w:eastAsia="zh-CN"/>
        </w:rPr>
        <w:t>Proposal 3: For case 2, if a UE supports LO switching or has separate LOs for Tx and Rx, it also can decouple intra-band UL CA and intra-band DL CA. In this case, applied MPR could change from CABW to intra-band UL CA with UE capability.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 xml:space="preserve">Proposal 4: If only one UL CC activation, we think single CC MPR can be utilized with UE capability, which is similar to case 1. If more than one UL CCs activation, it looks like case 2, applied MPR could change from CABW to intra-band UL CA with UE capability.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5: It is necessary to introduce to a new UE capability of changing applicable MPR from CABW dependent to UL carrier/CABW dependent. This new UE capability could be optional and release independent.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R4-2406584</w:t>
      </w:r>
      <w:r>
        <w:rPr>
          <w:rFonts w:hint="eastAsia"/>
          <w:color w:val="auto"/>
          <w:sz w:val="20"/>
          <w:szCs w:val="20"/>
          <w:lang w:val="en-US" w:eastAsia="zh-CN"/>
        </w:rPr>
        <w:t xml:space="preserve">, </w:t>
      </w:r>
      <w:r>
        <w:rPr>
          <w:rFonts w:hint="default"/>
          <w:color w:val="auto"/>
          <w:sz w:val="20"/>
          <w:szCs w:val="20"/>
          <w:lang w:val="en-US" w:eastAsia="zh-CN"/>
        </w:rPr>
        <w:t>WF on power domain enhancement</w:t>
      </w:r>
      <w:r>
        <w:rPr>
          <w:rFonts w:hint="eastAsia"/>
          <w:sz w:val="20"/>
          <w:szCs w:val="20"/>
          <w:lang w:val="en-US" w:eastAsia="zh-CN"/>
        </w:rPr>
        <w:t>, Huawei</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9"/>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8"/>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5"/>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6">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5BAA8B4C"/>
    <w:multiLevelType w:val="multilevel"/>
    <w:tmpl w:val="5BAA8B4C"/>
    <w:lvl w:ilvl="0" w:tentative="0">
      <w:start w:val="1"/>
      <w:numFmt w:val="decimal"/>
      <w:pStyle w:val="34"/>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7"/>
      <w:lvlText w:val="•"/>
      <w:lvlJc w:val="left"/>
      <w:pPr>
        <w:tabs>
          <w:tab w:val="left" w:pos="840"/>
        </w:tabs>
        <w:ind w:left="840" w:hanging="420"/>
      </w:pPr>
      <w:rPr>
        <w:rFonts w:hint="default" w:ascii="Arial" w:hAnsi="Arial" w:eastAsia="宋体" w:cs="Arial"/>
        <w:b/>
        <w:bCs/>
        <w:i/>
        <w:iCs/>
      </w:rPr>
    </w:lvl>
    <w:lvl w:ilvl="2" w:tentative="0">
      <w:start w:val="1"/>
      <w:numFmt w:val="bullet"/>
      <w:pStyle w:val="48"/>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6360A"/>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3FF6FCE"/>
    <w:rsid w:val="04030035"/>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9569FB"/>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636085"/>
    <w:rsid w:val="057D1D66"/>
    <w:rsid w:val="059D265F"/>
    <w:rsid w:val="059E1515"/>
    <w:rsid w:val="05B92EC1"/>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C440A"/>
    <w:rsid w:val="068E06BC"/>
    <w:rsid w:val="069201CB"/>
    <w:rsid w:val="06956E2E"/>
    <w:rsid w:val="06AC7765"/>
    <w:rsid w:val="06AE6146"/>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9E5811"/>
    <w:rsid w:val="0AA077E0"/>
    <w:rsid w:val="0AA5327C"/>
    <w:rsid w:val="0ABA4019"/>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51F47"/>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9074CF"/>
    <w:rsid w:val="0D936E72"/>
    <w:rsid w:val="0D966BF7"/>
    <w:rsid w:val="0DB54F84"/>
    <w:rsid w:val="0DB84465"/>
    <w:rsid w:val="0DCC3AE8"/>
    <w:rsid w:val="0DD87842"/>
    <w:rsid w:val="0DDE2885"/>
    <w:rsid w:val="0DE736FE"/>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F40833"/>
    <w:rsid w:val="11F92DAB"/>
    <w:rsid w:val="11FB6DE4"/>
    <w:rsid w:val="11FC38D5"/>
    <w:rsid w:val="11FD37F5"/>
    <w:rsid w:val="120F1E38"/>
    <w:rsid w:val="1210682D"/>
    <w:rsid w:val="122215D3"/>
    <w:rsid w:val="122510AD"/>
    <w:rsid w:val="122F0F93"/>
    <w:rsid w:val="1230745C"/>
    <w:rsid w:val="123A05DB"/>
    <w:rsid w:val="124240B9"/>
    <w:rsid w:val="12491684"/>
    <w:rsid w:val="124D0988"/>
    <w:rsid w:val="124E44B4"/>
    <w:rsid w:val="126532DD"/>
    <w:rsid w:val="12680E73"/>
    <w:rsid w:val="12763466"/>
    <w:rsid w:val="127E5AA6"/>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F5949"/>
    <w:rsid w:val="13FD073F"/>
    <w:rsid w:val="14001419"/>
    <w:rsid w:val="140171D9"/>
    <w:rsid w:val="1405674E"/>
    <w:rsid w:val="140815BB"/>
    <w:rsid w:val="14087FC1"/>
    <w:rsid w:val="14095006"/>
    <w:rsid w:val="141C71BE"/>
    <w:rsid w:val="141E583B"/>
    <w:rsid w:val="1424615D"/>
    <w:rsid w:val="142C143A"/>
    <w:rsid w:val="142E1345"/>
    <w:rsid w:val="14355342"/>
    <w:rsid w:val="144C1C02"/>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B6470F"/>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293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432BC"/>
    <w:rsid w:val="17850F99"/>
    <w:rsid w:val="17875303"/>
    <w:rsid w:val="178815C4"/>
    <w:rsid w:val="17891C0B"/>
    <w:rsid w:val="178F2F4E"/>
    <w:rsid w:val="1793626E"/>
    <w:rsid w:val="17991452"/>
    <w:rsid w:val="17A875F5"/>
    <w:rsid w:val="17B5256D"/>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415E9"/>
    <w:rsid w:val="192527CD"/>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858FF"/>
    <w:rsid w:val="1A4C698A"/>
    <w:rsid w:val="1A4D778D"/>
    <w:rsid w:val="1A5D5219"/>
    <w:rsid w:val="1A5E4B5A"/>
    <w:rsid w:val="1A672B1C"/>
    <w:rsid w:val="1A7070DD"/>
    <w:rsid w:val="1A805F1C"/>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233B78"/>
    <w:rsid w:val="1B3637AD"/>
    <w:rsid w:val="1B3E0DB5"/>
    <w:rsid w:val="1B454C94"/>
    <w:rsid w:val="1B454E69"/>
    <w:rsid w:val="1B5C1145"/>
    <w:rsid w:val="1B5D79CB"/>
    <w:rsid w:val="1B6B769D"/>
    <w:rsid w:val="1B6C0DF0"/>
    <w:rsid w:val="1B7F6005"/>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E27E9"/>
    <w:rsid w:val="1C92160B"/>
    <w:rsid w:val="1C973EEF"/>
    <w:rsid w:val="1CA03243"/>
    <w:rsid w:val="1CAC112E"/>
    <w:rsid w:val="1CAF5DB2"/>
    <w:rsid w:val="1CB302AA"/>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BE7949"/>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73470B"/>
    <w:rsid w:val="1F902E5C"/>
    <w:rsid w:val="1F935819"/>
    <w:rsid w:val="1FA036A3"/>
    <w:rsid w:val="1FA6556D"/>
    <w:rsid w:val="1FAF2571"/>
    <w:rsid w:val="1FB33036"/>
    <w:rsid w:val="1FBB46C3"/>
    <w:rsid w:val="1FC55EDA"/>
    <w:rsid w:val="1FC658C9"/>
    <w:rsid w:val="1FCE593C"/>
    <w:rsid w:val="1FE312AC"/>
    <w:rsid w:val="1FEC5915"/>
    <w:rsid w:val="1FED32EF"/>
    <w:rsid w:val="1FF82884"/>
    <w:rsid w:val="201E6D7C"/>
    <w:rsid w:val="20446081"/>
    <w:rsid w:val="204852AD"/>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BD6569"/>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044713"/>
    <w:rsid w:val="23131055"/>
    <w:rsid w:val="232C2DD6"/>
    <w:rsid w:val="233C6F76"/>
    <w:rsid w:val="234449F5"/>
    <w:rsid w:val="23536618"/>
    <w:rsid w:val="23591B45"/>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EF46B0"/>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86A05"/>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280262"/>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B60999"/>
    <w:rsid w:val="30C16A19"/>
    <w:rsid w:val="30C262B6"/>
    <w:rsid w:val="30CB5800"/>
    <w:rsid w:val="30D32236"/>
    <w:rsid w:val="30E43E12"/>
    <w:rsid w:val="30E53B71"/>
    <w:rsid w:val="30E8513F"/>
    <w:rsid w:val="30F64E34"/>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C08F6"/>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729AF"/>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8E0734"/>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1967"/>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4F22AE"/>
    <w:rsid w:val="43533E29"/>
    <w:rsid w:val="43561E16"/>
    <w:rsid w:val="435B1259"/>
    <w:rsid w:val="436263D5"/>
    <w:rsid w:val="436F5E02"/>
    <w:rsid w:val="437556C4"/>
    <w:rsid w:val="43874CD4"/>
    <w:rsid w:val="439B699F"/>
    <w:rsid w:val="439D3E18"/>
    <w:rsid w:val="439F1200"/>
    <w:rsid w:val="43AE320F"/>
    <w:rsid w:val="43AF2D32"/>
    <w:rsid w:val="43B13512"/>
    <w:rsid w:val="43B76E4F"/>
    <w:rsid w:val="43CF0206"/>
    <w:rsid w:val="43D50BA1"/>
    <w:rsid w:val="43D85D6D"/>
    <w:rsid w:val="43EC6F1F"/>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BF015C"/>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37509"/>
    <w:rsid w:val="476700F2"/>
    <w:rsid w:val="47696F9C"/>
    <w:rsid w:val="47714F1F"/>
    <w:rsid w:val="47725A17"/>
    <w:rsid w:val="477D3243"/>
    <w:rsid w:val="478821A1"/>
    <w:rsid w:val="479128A9"/>
    <w:rsid w:val="47975EDC"/>
    <w:rsid w:val="47983B19"/>
    <w:rsid w:val="479E2C8A"/>
    <w:rsid w:val="47A3609D"/>
    <w:rsid w:val="47C01792"/>
    <w:rsid w:val="47C03160"/>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7A3E12"/>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1C39D8"/>
    <w:rsid w:val="4A255046"/>
    <w:rsid w:val="4A2E1525"/>
    <w:rsid w:val="4A5A756D"/>
    <w:rsid w:val="4A722B4C"/>
    <w:rsid w:val="4A785772"/>
    <w:rsid w:val="4A7A7433"/>
    <w:rsid w:val="4A842E43"/>
    <w:rsid w:val="4A886D1D"/>
    <w:rsid w:val="4A89105B"/>
    <w:rsid w:val="4A955EEB"/>
    <w:rsid w:val="4AA341CC"/>
    <w:rsid w:val="4AC13295"/>
    <w:rsid w:val="4AC31003"/>
    <w:rsid w:val="4AC40F4C"/>
    <w:rsid w:val="4AD25F33"/>
    <w:rsid w:val="4AD763B8"/>
    <w:rsid w:val="4ADD641F"/>
    <w:rsid w:val="4AE072CB"/>
    <w:rsid w:val="4AE93159"/>
    <w:rsid w:val="4AED65F4"/>
    <w:rsid w:val="4AF02EA1"/>
    <w:rsid w:val="4B0428AF"/>
    <w:rsid w:val="4B174032"/>
    <w:rsid w:val="4B1D7328"/>
    <w:rsid w:val="4B250CF8"/>
    <w:rsid w:val="4B2872C8"/>
    <w:rsid w:val="4B2873FD"/>
    <w:rsid w:val="4B3D4DE9"/>
    <w:rsid w:val="4B55078A"/>
    <w:rsid w:val="4B59618C"/>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02D5C"/>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741A7"/>
    <w:rsid w:val="4E7F1E8F"/>
    <w:rsid w:val="4E86248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A7926"/>
    <w:rsid w:val="515D735D"/>
    <w:rsid w:val="5161556E"/>
    <w:rsid w:val="51631E12"/>
    <w:rsid w:val="516A5418"/>
    <w:rsid w:val="516F4764"/>
    <w:rsid w:val="51781A83"/>
    <w:rsid w:val="51867298"/>
    <w:rsid w:val="51894D69"/>
    <w:rsid w:val="518D21E1"/>
    <w:rsid w:val="518E6224"/>
    <w:rsid w:val="51930297"/>
    <w:rsid w:val="51953936"/>
    <w:rsid w:val="519C33DF"/>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30E14"/>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26E8D"/>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9E5ECF"/>
    <w:rsid w:val="57A33734"/>
    <w:rsid w:val="57AB6ADD"/>
    <w:rsid w:val="57B7178E"/>
    <w:rsid w:val="57B76EED"/>
    <w:rsid w:val="57BD72A7"/>
    <w:rsid w:val="57BE5838"/>
    <w:rsid w:val="57BF764E"/>
    <w:rsid w:val="57CB35DF"/>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0A4D6B"/>
    <w:rsid w:val="5B141085"/>
    <w:rsid w:val="5B28192B"/>
    <w:rsid w:val="5B342BAD"/>
    <w:rsid w:val="5B371B82"/>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D22C33"/>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C70E3"/>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0E6BCC"/>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AC07D9"/>
    <w:rsid w:val="5FB36B05"/>
    <w:rsid w:val="5FB712A1"/>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014BDB"/>
    <w:rsid w:val="621542CB"/>
    <w:rsid w:val="621C2930"/>
    <w:rsid w:val="624263A2"/>
    <w:rsid w:val="625272C3"/>
    <w:rsid w:val="62715337"/>
    <w:rsid w:val="62726963"/>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6609B"/>
    <w:rsid w:val="65083216"/>
    <w:rsid w:val="650A57D3"/>
    <w:rsid w:val="65460728"/>
    <w:rsid w:val="654835A8"/>
    <w:rsid w:val="65733E1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3935F1"/>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507C6"/>
    <w:rsid w:val="68E24981"/>
    <w:rsid w:val="68E62C62"/>
    <w:rsid w:val="68ED4AAA"/>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74340"/>
    <w:rsid w:val="6B884219"/>
    <w:rsid w:val="6B90781F"/>
    <w:rsid w:val="6BA6663C"/>
    <w:rsid w:val="6BA9194F"/>
    <w:rsid w:val="6BB07973"/>
    <w:rsid w:val="6BCA7437"/>
    <w:rsid w:val="6BE727F5"/>
    <w:rsid w:val="6BFA11BF"/>
    <w:rsid w:val="6C001608"/>
    <w:rsid w:val="6C08064C"/>
    <w:rsid w:val="6C0858B3"/>
    <w:rsid w:val="6C132D21"/>
    <w:rsid w:val="6C240DF3"/>
    <w:rsid w:val="6C45610F"/>
    <w:rsid w:val="6C59472D"/>
    <w:rsid w:val="6C5A4564"/>
    <w:rsid w:val="6C603744"/>
    <w:rsid w:val="6C635845"/>
    <w:rsid w:val="6C637CCF"/>
    <w:rsid w:val="6C6B4F91"/>
    <w:rsid w:val="6C707656"/>
    <w:rsid w:val="6C7802EB"/>
    <w:rsid w:val="6C834AE0"/>
    <w:rsid w:val="6C89456C"/>
    <w:rsid w:val="6C8E1383"/>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C6626"/>
    <w:rsid w:val="6D5D0DB5"/>
    <w:rsid w:val="6D6855B1"/>
    <w:rsid w:val="6D6C5D15"/>
    <w:rsid w:val="6D7B4AB7"/>
    <w:rsid w:val="6D836C02"/>
    <w:rsid w:val="6D89784B"/>
    <w:rsid w:val="6D8C7F73"/>
    <w:rsid w:val="6D9057BE"/>
    <w:rsid w:val="6D9E0566"/>
    <w:rsid w:val="6DBE7F27"/>
    <w:rsid w:val="6DC262E7"/>
    <w:rsid w:val="6DD70DD8"/>
    <w:rsid w:val="6DDD7560"/>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24E0"/>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21694"/>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5C0B1A"/>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4EE5D36"/>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425118"/>
    <w:rsid w:val="764838B9"/>
    <w:rsid w:val="764B15DA"/>
    <w:rsid w:val="764C09B4"/>
    <w:rsid w:val="764F5A52"/>
    <w:rsid w:val="76521C57"/>
    <w:rsid w:val="766163C1"/>
    <w:rsid w:val="76665926"/>
    <w:rsid w:val="766A4A0D"/>
    <w:rsid w:val="76704640"/>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4C70B7"/>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DB37BB"/>
    <w:rsid w:val="77E66E3C"/>
    <w:rsid w:val="77E84D6F"/>
    <w:rsid w:val="77F3789A"/>
    <w:rsid w:val="77F71324"/>
    <w:rsid w:val="78005A86"/>
    <w:rsid w:val="78011BF1"/>
    <w:rsid w:val="780326B9"/>
    <w:rsid w:val="780332E5"/>
    <w:rsid w:val="7804698A"/>
    <w:rsid w:val="78173CE3"/>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E16F93"/>
    <w:rsid w:val="79E701E5"/>
    <w:rsid w:val="79EC0256"/>
    <w:rsid w:val="79F60153"/>
    <w:rsid w:val="79FB6E2C"/>
    <w:rsid w:val="79FF7B91"/>
    <w:rsid w:val="7A36322F"/>
    <w:rsid w:val="7A431242"/>
    <w:rsid w:val="7A444657"/>
    <w:rsid w:val="7A4B3D21"/>
    <w:rsid w:val="7A4C2D60"/>
    <w:rsid w:val="7A5E0869"/>
    <w:rsid w:val="7A6367C8"/>
    <w:rsid w:val="7A69432B"/>
    <w:rsid w:val="7A6E4BF5"/>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DE5A36"/>
    <w:rsid w:val="7BEC2711"/>
    <w:rsid w:val="7BF55850"/>
    <w:rsid w:val="7C1054B7"/>
    <w:rsid w:val="7C131E53"/>
    <w:rsid w:val="7C261982"/>
    <w:rsid w:val="7C26369C"/>
    <w:rsid w:val="7C2A465C"/>
    <w:rsid w:val="7C2E06D8"/>
    <w:rsid w:val="7C305879"/>
    <w:rsid w:val="7C34521A"/>
    <w:rsid w:val="7C4674BA"/>
    <w:rsid w:val="7C4A2BD1"/>
    <w:rsid w:val="7C4C0053"/>
    <w:rsid w:val="7C55517F"/>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 w:val="7FF0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8"/>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7"/>
    <w:qFormat/>
    <w:uiPriority w:val="0"/>
    <w:pPr>
      <w:numPr>
        <w:ilvl w:val="2"/>
      </w:numPr>
      <w:spacing w:before="120"/>
      <w:ind w:left="0"/>
      <w:outlineLvl w:val="2"/>
    </w:pPr>
    <w:rPr>
      <w:sz w:val="24"/>
    </w:rPr>
  </w:style>
  <w:style w:type="paragraph" w:styleId="5">
    <w:name w:val="heading 4"/>
    <w:basedOn w:val="4"/>
    <w:next w:val="1"/>
    <w:link w:val="56"/>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4"/>
    <w:semiHidden/>
    <w:unhideWhenUsed/>
    <w:qFormat/>
    <w:uiPriority w:val="99"/>
    <w:rPr>
      <w:rFonts w:ascii="宋体"/>
      <w:sz w:val="18"/>
      <w:szCs w:val="18"/>
    </w:rPr>
  </w:style>
  <w:style w:type="paragraph" w:styleId="14">
    <w:name w:val="annotation text"/>
    <w:basedOn w:val="1"/>
    <w:link w:val="45"/>
    <w:unhideWhenUsed/>
    <w:qFormat/>
    <w:uiPriority w:val="0"/>
    <w:pPr>
      <w:spacing w:before="120" w:after="120"/>
      <w:jc w:val="left"/>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3"/>
    <w:semiHidden/>
    <w:unhideWhenUsed/>
    <w:qFormat/>
    <w:uiPriority w:val="99"/>
    <w:pPr>
      <w:spacing w:line="240" w:lineRule="auto"/>
    </w:pPr>
    <w:rPr>
      <w:sz w:val="18"/>
      <w:szCs w:val="18"/>
    </w:rPr>
  </w:style>
  <w:style w:type="paragraph" w:styleId="17">
    <w:name w:val="footer"/>
    <w:basedOn w:val="1"/>
    <w:link w:val="42"/>
    <w:unhideWhenUsed/>
    <w:qFormat/>
    <w:uiPriority w:val="0"/>
    <w:pPr>
      <w:tabs>
        <w:tab w:val="center" w:pos="4153"/>
        <w:tab w:val="right" w:pos="8306"/>
      </w:tabs>
      <w:snapToGrid w:val="0"/>
      <w:jc w:val="left"/>
    </w:pPr>
    <w:rPr>
      <w:sz w:val="18"/>
      <w:szCs w:val="18"/>
    </w:rPr>
  </w:style>
  <w:style w:type="paragraph" w:styleId="18">
    <w:name w:val="header"/>
    <w:basedOn w:val="1"/>
    <w:link w:val="41"/>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List 5"/>
    <w:basedOn w:val="21"/>
    <w:qFormat/>
    <w:uiPriority w:val="0"/>
    <w:pPr>
      <w:ind w:left="1702"/>
    </w:pPr>
  </w:style>
  <w:style w:type="paragraph" w:styleId="21">
    <w:name w:val="List 4"/>
    <w:basedOn w:val="9"/>
    <w:qFormat/>
    <w:uiPriority w:val="0"/>
    <w:pPr>
      <w:ind w:left="1418"/>
    </w:pPr>
  </w:style>
  <w:style w:type="paragraph" w:styleId="22">
    <w:name w:val="table of figures"/>
    <w:basedOn w:val="1"/>
    <w:next w:val="1"/>
    <w:semiHidden/>
    <w:unhideWhenUsed/>
    <w:qFormat/>
    <w:uiPriority w:val="99"/>
    <w:pPr>
      <w:ind w:left="200" w:leftChars="200" w:hanging="200" w:hangingChars="200"/>
    </w:pPr>
  </w:style>
  <w:style w:type="paragraph" w:styleId="23">
    <w:name w:val="toc 2"/>
    <w:basedOn w:val="1"/>
    <w:next w:val="1"/>
    <w:unhideWhenUsed/>
    <w:qFormat/>
    <w:uiPriority w:val="39"/>
    <w:pPr>
      <w:ind w:left="420" w:leftChars="200"/>
    </w:pPr>
    <w:rPr>
      <w:b/>
      <w:i/>
      <w:sz w:val="20"/>
    </w:rPr>
  </w:style>
  <w:style w:type="paragraph" w:styleId="24">
    <w:name w:val="Normal (Web)"/>
    <w:basedOn w:val="1"/>
    <w:semiHidden/>
    <w:unhideWhenUsed/>
    <w:qFormat/>
    <w:uiPriority w:val="99"/>
    <w:pPr>
      <w:spacing w:beforeAutospacing="1" w:afterAutospacing="1"/>
      <w:jc w:val="left"/>
    </w:pPr>
    <w:rPr>
      <w:kern w:val="0"/>
      <w:sz w:val="24"/>
    </w:rPr>
  </w:style>
  <w:style w:type="paragraph" w:styleId="25">
    <w:name w:val="annotation subject"/>
    <w:basedOn w:val="14"/>
    <w:next w:val="14"/>
    <w:link w:val="46"/>
    <w:semiHidden/>
    <w:unhideWhenUsed/>
    <w:qFormat/>
    <w:uiPriority w:val="99"/>
    <w:rPr>
      <w:b/>
      <w:bCs/>
    </w:rPr>
  </w:style>
  <w:style w:type="table" w:styleId="27">
    <w:name w:val="Table Grid"/>
    <w:basedOn w:val="2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Emphasis"/>
    <w:basedOn w:val="28"/>
    <w:qFormat/>
    <w:uiPriority w:val="20"/>
    <w:rPr>
      <w:i/>
    </w:rPr>
  </w:style>
  <w:style w:type="character" w:styleId="31">
    <w:name w:val="Hyperlink"/>
    <w:qFormat/>
    <w:uiPriority w:val="99"/>
    <w:rPr>
      <w:color w:val="0000FF"/>
      <w:u w:val="single"/>
    </w:rPr>
  </w:style>
  <w:style w:type="character" w:styleId="32">
    <w:name w:val="annotation reference"/>
    <w:basedOn w:val="28"/>
    <w:unhideWhenUsed/>
    <w:qFormat/>
    <w:uiPriority w:val="0"/>
    <w:rPr>
      <w:sz w:val="16"/>
      <w:szCs w:val="16"/>
    </w:rPr>
  </w:style>
  <w:style w:type="character" w:customStyle="1" w:styleId="33">
    <w:name w:val="批注框文本 Char"/>
    <w:basedOn w:val="28"/>
    <w:link w:val="16"/>
    <w:semiHidden/>
    <w:qFormat/>
    <w:uiPriority w:val="99"/>
    <w:rPr>
      <w:kern w:val="2"/>
      <w:sz w:val="18"/>
      <w:szCs w:val="18"/>
    </w:rPr>
  </w:style>
  <w:style w:type="paragraph" w:customStyle="1" w:styleId="34">
    <w:name w:val="YJ-Proposal"/>
    <w:basedOn w:val="1"/>
    <w:qFormat/>
    <w:uiPriority w:val="0"/>
    <w:pPr>
      <w:numPr>
        <w:ilvl w:val="0"/>
        <w:numId w:val="3"/>
      </w:numPr>
    </w:pPr>
    <w:rPr>
      <w:rFonts w:eastAsiaTheme="minorEastAsia"/>
      <w:b/>
      <w:bCs/>
      <w:i/>
      <w:iCs/>
      <w:sz w:val="20"/>
      <w:lang w:val="en-GB" w:eastAsia="en-US"/>
    </w:rPr>
  </w:style>
  <w:style w:type="paragraph" w:customStyle="1" w:styleId="35">
    <w:name w:val="YJ-Observation"/>
    <w:basedOn w:val="34"/>
    <w:qFormat/>
    <w:uiPriority w:val="0"/>
    <w:pPr>
      <w:numPr>
        <w:ilvl w:val="0"/>
        <w:numId w:val="4"/>
      </w:numPr>
      <w:tabs>
        <w:tab w:val="left" w:pos="420"/>
      </w:tabs>
    </w:pPr>
  </w:style>
  <w:style w:type="paragraph" w:customStyle="1" w:styleId="36">
    <w:name w:val="References"/>
    <w:basedOn w:val="1"/>
    <w:qFormat/>
    <w:uiPriority w:val="0"/>
    <w:pPr>
      <w:numPr>
        <w:ilvl w:val="0"/>
        <w:numId w:val="5"/>
      </w:numPr>
      <w:spacing w:after="60"/>
    </w:pPr>
    <w:rPr>
      <w:szCs w:val="16"/>
    </w:rPr>
  </w:style>
  <w:style w:type="paragraph" w:styleId="37">
    <w:name w:val="List Paragraph"/>
    <w:basedOn w:val="1"/>
    <w:link w:val="71"/>
    <w:qFormat/>
    <w:uiPriority w:val="34"/>
    <w:pPr>
      <w:spacing w:beforeLines="0" w:line="240" w:lineRule="auto"/>
      <w:ind w:left="720"/>
      <w:contextualSpacing/>
    </w:pPr>
    <w:rPr>
      <w:rFonts w:eastAsia="Times New Roman"/>
      <w:sz w:val="24"/>
      <w:szCs w:val="24"/>
    </w:rPr>
  </w:style>
  <w:style w:type="paragraph" w:customStyle="1" w:styleId="38">
    <w:name w:val="sub-proposal"/>
    <w:basedOn w:val="34"/>
    <w:next w:val="1"/>
    <w:qFormat/>
    <w:uiPriority w:val="0"/>
    <w:pPr>
      <w:numPr>
        <w:numId w:val="6"/>
      </w:numPr>
      <w:tabs>
        <w:tab w:val="left" w:pos="807"/>
      </w:tabs>
    </w:pPr>
  </w:style>
  <w:style w:type="paragraph" w:customStyle="1" w:styleId="39">
    <w:name w:val="样式1"/>
    <w:basedOn w:val="1"/>
    <w:qFormat/>
    <w:uiPriority w:val="0"/>
  </w:style>
  <w:style w:type="paragraph" w:customStyle="1" w:styleId="40">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1">
    <w:name w:val="页眉 Char"/>
    <w:basedOn w:val="28"/>
    <w:link w:val="18"/>
    <w:semiHidden/>
    <w:qFormat/>
    <w:uiPriority w:val="0"/>
    <w:rPr>
      <w:rFonts w:eastAsia="宋体"/>
      <w:kern w:val="2"/>
      <w:sz w:val="21"/>
    </w:rPr>
  </w:style>
  <w:style w:type="character" w:customStyle="1" w:styleId="42">
    <w:name w:val="页脚 Char"/>
    <w:basedOn w:val="28"/>
    <w:link w:val="17"/>
    <w:qFormat/>
    <w:uiPriority w:val="99"/>
    <w:rPr>
      <w:rFonts w:eastAsia="宋体"/>
      <w:kern w:val="2"/>
      <w:sz w:val="18"/>
      <w:szCs w:val="18"/>
    </w:rPr>
  </w:style>
  <w:style w:type="paragraph" w:customStyle="1" w:styleId="43">
    <w:name w:val="YJ--正文"/>
    <w:basedOn w:val="1"/>
    <w:qFormat/>
    <w:uiPriority w:val="0"/>
    <w:pPr>
      <w:spacing w:before="50" w:after="50" w:line="240" w:lineRule="auto"/>
    </w:pPr>
    <w:rPr>
      <w:rFonts w:eastAsia="Times New Roman" w:cs="宋体"/>
      <w:sz w:val="20"/>
    </w:rPr>
  </w:style>
  <w:style w:type="character" w:customStyle="1" w:styleId="44">
    <w:name w:val="文档结构图 Char"/>
    <w:basedOn w:val="28"/>
    <w:link w:val="13"/>
    <w:semiHidden/>
    <w:qFormat/>
    <w:uiPriority w:val="99"/>
    <w:rPr>
      <w:rFonts w:ascii="宋体"/>
      <w:kern w:val="2"/>
      <w:sz w:val="18"/>
      <w:szCs w:val="18"/>
    </w:rPr>
  </w:style>
  <w:style w:type="character" w:customStyle="1" w:styleId="45">
    <w:name w:val="批注文字 Char"/>
    <w:basedOn w:val="28"/>
    <w:link w:val="14"/>
    <w:qFormat/>
    <w:uiPriority w:val="0"/>
    <w:rPr>
      <w:rFonts w:eastAsia="宋体"/>
      <w:kern w:val="2"/>
      <w:sz w:val="21"/>
    </w:rPr>
  </w:style>
  <w:style w:type="character" w:customStyle="1" w:styleId="46">
    <w:name w:val="批注主题 Char"/>
    <w:basedOn w:val="45"/>
    <w:link w:val="25"/>
    <w:qFormat/>
    <w:uiPriority w:val="0"/>
    <w:rPr>
      <w:rFonts w:eastAsia="宋体"/>
      <w:kern w:val="2"/>
      <w:sz w:val="21"/>
    </w:rPr>
  </w:style>
  <w:style w:type="paragraph" w:customStyle="1" w:styleId="47">
    <w:name w:val="subullet"/>
    <w:basedOn w:val="1"/>
    <w:qFormat/>
    <w:uiPriority w:val="0"/>
    <w:pPr>
      <w:numPr>
        <w:ilvl w:val="1"/>
        <w:numId w:val="3"/>
      </w:numPr>
      <w:spacing w:before="50" w:after="50"/>
    </w:pPr>
    <w:rPr>
      <w:rFonts w:hint="eastAsia" w:eastAsiaTheme="minorEastAsia"/>
      <w:b/>
      <w:bCs/>
      <w:i/>
      <w:iCs/>
      <w:sz w:val="20"/>
    </w:rPr>
  </w:style>
  <w:style w:type="paragraph" w:customStyle="1" w:styleId="48">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9">
    <w:name w:val="3rd level proposal"/>
    <w:basedOn w:val="38"/>
    <w:next w:val="1"/>
    <w:qFormat/>
    <w:uiPriority w:val="0"/>
    <w:pPr>
      <w:numPr>
        <w:ilvl w:val="0"/>
        <w:numId w:val="7"/>
      </w:numPr>
      <w:ind w:left="1282" w:leftChars="400" w:hanging="442" w:hangingChars="200"/>
      <w:jc w:val="left"/>
    </w:pPr>
  </w:style>
  <w:style w:type="paragraph" w:customStyle="1" w:styleId="50">
    <w:name w:val="B1"/>
    <w:basedOn w:val="11"/>
    <w:link w:val="64"/>
    <w:qFormat/>
    <w:uiPriority w:val="0"/>
  </w:style>
  <w:style w:type="paragraph" w:customStyle="1" w:styleId="51">
    <w:name w:val="B3"/>
    <w:basedOn w:val="9"/>
    <w:qFormat/>
    <w:uiPriority w:val="0"/>
    <w:pPr>
      <w:ind w:left="1135" w:hanging="284"/>
    </w:pPr>
  </w:style>
  <w:style w:type="character" w:styleId="52">
    <w:name w:val="Placeholder Text"/>
    <w:basedOn w:val="28"/>
    <w:semiHidden/>
    <w:qFormat/>
    <w:uiPriority w:val="99"/>
    <w:rPr>
      <w:color w:val="808080"/>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pPr>
      <w:ind w:left="851" w:hanging="284"/>
    </w:pPr>
    <w:rPr>
      <w:lang w:val="zh-CN"/>
    </w:rPr>
  </w:style>
  <w:style w:type="paragraph" w:customStyle="1" w:styleId="55">
    <w:name w:val="B4"/>
    <w:basedOn w:val="21"/>
    <w:qFormat/>
    <w:uiPriority w:val="0"/>
    <w:pPr>
      <w:ind w:left="1418" w:hanging="284"/>
    </w:pPr>
  </w:style>
  <w:style w:type="character" w:customStyle="1" w:styleId="56">
    <w:name w:val="标题 4 Char"/>
    <w:basedOn w:val="28"/>
    <w:link w:val="5"/>
    <w:qFormat/>
    <w:uiPriority w:val="0"/>
    <w:rPr>
      <w:rFonts w:ascii="Arial" w:hAnsi="Arial" w:eastAsia="MS Mincho"/>
      <w:kern w:val="2"/>
      <w:sz w:val="24"/>
    </w:rPr>
  </w:style>
  <w:style w:type="character" w:customStyle="1" w:styleId="57">
    <w:name w:val="标题 3 Char"/>
    <w:basedOn w:val="28"/>
    <w:link w:val="4"/>
    <w:qFormat/>
    <w:uiPriority w:val="0"/>
    <w:rPr>
      <w:rFonts w:ascii="Arial" w:hAnsi="Arial" w:eastAsia="MS Mincho"/>
      <w:kern w:val="2"/>
      <w:sz w:val="24"/>
    </w:rPr>
  </w:style>
  <w:style w:type="character" w:customStyle="1" w:styleId="58">
    <w:name w:val="标题 2 Char"/>
    <w:basedOn w:val="28"/>
    <w:link w:val="3"/>
    <w:qFormat/>
    <w:uiPriority w:val="0"/>
    <w:rPr>
      <w:rFonts w:ascii="Times New Roman" w:hAnsi="Times New Roman" w:eastAsia="MS Mincho"/>
      <w:b/>
      <w:kern w:val="2"/>
      <w:sz w:val="28"/>
    </w:r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TAC"/>
    <w:basedOn w:val="61"/>
    <w:link w:val="69"/>
    <w:qFormat/>
    <w:uiPriority w:val="0"/>
    <w:pPr>
      <w:jc w:val="center"/>
    </w:pPr>
  </w:style>
  <w:style w:type="paragraph" w:customStyle="1" w:styleId="61">
    <w:name w:val="TAL"/>
    <w:basedOn w:val="1"/>
    <w:link w:val="70"/>
    <w:qFormat/>
    <w:uiPriority w:val="0"/>
    <w:pPr>
      <w:keepNext/>
      <w:keepLines/>
    </w:pPr>
    <w:rPr>
      <w:rFonts w:ascii="Arial" w:hAnsi="Arial"/>
      <w:sz w:val="18"/>
    </w:rPr>
  </w:style>
  <w:style w:type="paragraph" w:customStyle="1" w:styleId="62">
    <w:name w:val="B5"/>
    <w:basedOn w:val="20"/>
    <w:qFormat/>
    <w:uiPriority w:val="0"/>
    <w:pPr>
      <w:ind w:left="1702" w:hanging="284"/>
    </w:pPr>
  </w:style>
  <w:style w:type="character" w:customStyle="1" w:styleId="63">
    <w:name w:val="首标题"/>
    <w:qFormat/>
    <w:uiPriority w:val="0"/>
    <w:rPr>
      <w:rFonts w:ascii="Arial" w:hAnsi="Arial" w:eastAsia="宋体"/>
      <w:sz w:val="24"/>
    </w:rPr>
  </w:style>
  <w:style w:type="character" w:customStyle="1" w:styleId="64">
    <w:name w:val="B1 Char1"/>
    <w:link w:val="50"/>
    <w:qFormat/>
    <w:uiPriority w:val="0"/>
    <w:rPr>
      <w:kern w:val="2"/>
      <w:sz w:val="21"/>
    </w:rPr>
  </w:style>
  <w:style w:type="character" w:customStyle="1" w:styleId="65">
    <w:name w:val="NO Char"/>
    <w:link w:val="66"/>
    <w:qFormat/>
    <w:uiPriority w:val="0"/>
    <w:rPr>
      <w:lang w:val="en-GB" w:eastAsia="en-US"/>
    </w:rPr>
  </w:style>
  <w:style w:type="paragraph" w:customStyle="1" w:styleId="66">
    <w:name w:val="NO"/>
    <w:basedOn w:val="1"/>
    <w:link w:val="65"/>
    <w:qFormat/>
    <w:uiPriority w:val="0"/>
    <w:pPr>
      <w:keepLines/>
      <w:spacing w:beforeLines="0" w:afterLines="0" w:line="240" w:lineRule="auto"/>
      <w:ind w:left="1135" w:hanging="851"/>
      <w:jc w:val="left"/>
    </w:pPr>
    <w:rPr>
      <w:kern w:val="0"/>
      <w:sz w:val="20"/>
      <w:lang w:val="en-GB" w:eastAsia="en-US"/>
    </w:rPr>
  </w:style>
  <w:style w:type="character" w:customStyle="1" w:styleId="67">
    <w:name w:val="TAH Car"/>
    <w:link w:val="68"/>
    <w:qFormat/>
    <w:locked/>
    <w:uiPriority w:val="0"/>
    <w:rPr>
      <w:rFonts w:ascii="Arial" w:hAnsi="Arial"/>
      <w:b/>
      <w:sz w:val="18"/>
      <w:lang w:val="en-GB" w:eastAsia="en-US"/>
    </w:rPr>
  </w:style>
  <w:style w:type="paragraph" w:customStyle="1" w:styleId="68">
    <w:name w:val="TAH"/>
    <w:basedOn w:val="60"/>
    <w:link w:val="67"/>
    <w:qFormat/>
    <w:uiPriority w:val="0"/>
    <w:pPr>
      <w:spacing w:beforeLines="0" w:afterLines="0" w:line="240" w:lineRule="auto"/>
    </w:pPr>
    <w:rPr>
      <w:b/>
      <w:kern w:val="0"/>
      <w:lang w:val="en-GB" w:eastAsia="en-US"/>
    </w:rPr>
  </w:style>
  <w:style w:type="character" w:customStyle="1" w:styleId="69">
    <w:name w:val="TAC Char"/>
    <w:link w:val="60"/>
    <w:qFormat/>
    <w:locked/>
    <w:uiPriority w:val="0"/>
    <w:rPr>
      <w:rFonts w:ascii="Arial" w:hAnsi="Arial"/>
      <w:kern w:val="2"/>
      <w:sz w:val="18"/>
    </w:rPr>
  </w:style>
  <w:style w:type="character" w:customStyle="1" w:styleId="70">
    <w:name w:val="TAL Car"/>
    <w:link w:val="61"/>
    <w:qFormat/>
    <w:uiPriority w:val="0"/>
    <w:rPr>
      <w:rFonts w:ascii="Arial" w:hAnsi="Arial"/>
      <w:kern w:val="2"/>
      <w:sz w:val="18"/>
    </w:rPr>
  </w:style>
  <w:style w:type="character" w:customStyle="1" w:styleId="71">
    <w:name w:val="列出段落 Char"/>
    <w:link w:val="37"/>
    <w:qFormat/>
    <w:locked/>
    <w:uiPriority w:val="34"/>
    <w:rPr>
      <w:rFonts w:eastAsia="Times New Roman"/>
      <w:kern w:val="2"/>
      <w:sz w:val="24"/>
      <w:szCs w:val="24"/>
    </w:rPr>
  </w:style>
  <w:style w:type="paragraph" w:customStyle="1" w:styleId="72">
    <w:name w:val="Revision"/>
    <w:hidden/>
    <w:semiHidden/>
    <w:qFormat/>
    <w:uiPriority w:val="99"/>
    <w:rPr>
      <w:rFonts w:ascii="Times New Roman" w:hAnsi="Times New Roman" w:eastAsia="宋体" w:cs="Times New Roman"/>
      <w:kern w:val="2"/>
      <w:sz w:val="21"/>
      <w:lang w:val="en-US" w:eastAsia="zh-CN" w:bidi="ar-SA"/>
    </w:rPr>
  </w:style>
  <w:style w:type="paragraph" w:customStyle="1" w:styleId="73">
    <w:name w:val="TAN"/>
    <w:basedOn w:val="61"/>
    <w:qFormat/>
    <w:uiPriority w:val="0"/>
    <w:pPr>
      <w:ind w:left="851" w:hanging="851"/>
    </w:pPr>
  </w:style>
  <w:style w:type="character" w:customStyle="1" w:styleId="74">
    <w:name w:val="font4"/>
    <w:basedOn w:val="28"/>
    <w:qFormat/>
    <w:uiPriority w:val="0"/>
  </w:style>
  <w:style w:type="paragraph" w:customStyle="1" w:styleId="75">
    <w:name w:val="样式 页眉"/>
    <w:basedOn w:val="18"/>
    <w:qFormat/>
    <w:uiPriority w:val="0"/>
    <w:rPr>
      <w:rFonts w:eastAsia="Arial"/>
      <w:bCs/>
      <w:sz w:val="22"/>
    </w:rPr>
  </w:style>
  <w:style w:type="paragraph" w:customStyle="1" w:styleId="76">
    <w:name w:val="CR Cover Page"/>
    <w:qFormat/>
    <w:uiPriority w:val="0"/>
    <w:pPr>
      <w:spacing w:after="120"/>
    </w:pPr>
    <w:rPr>
      <w:rFonts w:ascii="Arial" w:hAnsi="Arial" w:eastAsia="Times New Roman" w:cs="Times New Roman"/>
      <w:lang w:val="en-GB" w:eastAsia="en-US" w:bidi="ar-SA"/>
    </w:rPr>
  </w:style>
  <w:style w:type="character" w:customStyle="1" w:styleId="77">
    <w:name w:val="font21"/>
    <w:basedOn w:val="28"/>
    <w:qFormat/>
    <w:uiPriority w:val="0"/>
    <w:rPr>
      <w:rFonts w:hint="default" w:ascii="Times New Roman" w:hAnsi="Times New Roman" w:cs="Times New Roman"/>
      <w:color w:val="000000"/>
      <w:sz w:val="18"/>
      <w:szCs w:val="18"/>
      <w:u w:val="none"/>
    </w:rPr>
  </w:style>
  <w:style w:type="character" w:customStyle="1" w:styleId="78">
    <w:name w:val="font01"/>
    <w:basedOn w:val="28"/>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2024-05-13T11:44:48Z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